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0D55" w:rsidRPr="00830D55" w:rsidRDefault="00830D55" w:rsidP="00830D55">
      <w:pPr>
        <w:spacing w:after="0" w:line="240" w:lineRule="auto"/>
        <w:rPr>
          <w:rFonts w:ascii="Arial" w:eastAsia="Times New Roman" w:hAnsi="Arial" w:cs="Arial"/>
          <w:color w:val="2E2E2E"/>
          <w:sz w:val="21"/>
          <w:szCs w:val="21"/>
        </w:rPr>
      </w:pPr>
      <w:r w:rsidRPr="00830D55">
        <w:rPr>
          <w:rFonts w:ascii="Arial" w:eastAsia="Times New Roman" w:hAnsi="Arial" w:cs="Arial"/>
          <w:noProof/>
          <w:color w:val="0C7DBB"/>
          <w:sz w:val="21"/>
          <w:szCs w:val="21"/>
        </w:rPr>
        <w:drawing>
          <wp:inline distT="0" distB="0" distL="0" distR="0">
            <wp:extent cx="1381125" cy="1524000"/>
            <wp:effectExtent l="0" t="0" r="9525" b="0"/>
            <wp:docPr id="2" name="Picture 2" descr="Elsevier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lsevier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0D55" w:rsidRPr="00830D55" w:rsidRDefault="00830D55" w:rsidP="00830D55">
      <w:pPr>
        <w:spacing w:after="0" w:line="240" w:lineRule="auto"/>
        <w:textAlignment w:val="center"/>
        <w:outlineLvl w:val="1"/>
        <w:rPr>
          <w:rFonts w:ascii="Arial" w:eastAsia="Times New Roman" w:hAnsi="Arial" w:cs="Arial"/>
          <w:b/>
          <w:bCs/>
          <w:color w:val="505050"/>
          <w:sz w:val="36"/>
          <w:szCs w:val="36"/>
        </w:rPr>
      </w:pPr>
      <w:hyperlink r:id="rId7" w:tooltip="Go to Journal of Water Process Engineering on ScienceDirect" w:history="1">
        <w:r w:rsidRPr="00830D55">
          <w:rPr>
            <w:rFonts w:ascii="Arial" w:eastAsia="Times New Roman" w:hAnsi="Arial" w:cs="Arial"/>
            <w:b/>
            <w:bCs/>
            <w:color w:val="505050"/>
            <w:sz w:val="36"/>
            <w:szCs w:val="36"/>
            <w:u w:val="single"/>
          </w:rPr>
          <w:t>Journal of Water Process Engineering</w:t>
        </w:r>
      </w:hyperlink>
    </w:p>
    <w:p w:rsidR="00830D55" w:rsidRPr="00830D55" w:rsidRDefault="00830D55" w:rsidP="00830D55">
      <w:pPr>
        <w:spacing w:after="100" w:line="240" w:lineRule="auto"/>
        <w:textAlignment w:val="center"/>
        <w:rPr>
          <w:rFonts w:ascii="Arial" w:eastAsia="Times New Roman" w:hAnsi="Arial" w:cs="Arial"/>
          <w:color w:val="2E2E2E"/>
          <w:sz w:val="21"/>
          <w:szCs w:val="21"/>
        </w:rPr>
      </w:pPr>
      <w:hyperlink r:id="rId8" w:tooltip="Go to table of contents for this volume/issue" w:history="1">
        <w:r w:rsidRPr="00830D55">
          <w:rPr>
            <w:rFonts w:ascii="Arial" w:eastAsia="Times New Roman" w:hAnsi="Arial" w:cs="Arial"/>
            <w:color w:val="0C7DBB"/>
            <w:sz w:val="21"/>
            <w:szCs w:val="21"/>
            <w:u w:val="single"/>
          </w:rPr>
          <w:t>Volume 39</w:t>
        </w:r>
      </w:hyperlink>
      <w:r w:rsidRPr="00830D55">
        <w:rPr>
          <w:rFonts w:ascii="Arial" w:eastAsia="Times New Roman" w:hAnsi="Arial" w:cs="Arial"/>
          <w:color w:val="2E2E2E"/>
          <w:sz w:val="21"/>
          <w:szCs w:val="21"/>
        </w:rPr>
        <w:t>, February 2021, 101723</w:t>
      </w:r>
    </w:p>
    <w:p w:rsidR="00830D55" w:rsidRPr="00830D55" w:rsidRDefault="00830D55" w:rsidP="00830D55">
      <w:pPr>
        <w:spacing w:after="120" w:line="240" w:lineRule="auto"/>
        <w:jc w:val="right"/>
        <w:textAlignment w:val="top"/>
        <w:rPr>
          <w:rFonts w:ascii="Arial" w:eastAsia="Times New Roman" w:hAnsi="Arial" w:cs="Arial"/>
          <w:color w:val="2E2E2E"/>
          <w:sz w:val="21"/>
          <w:szCs w:val="21"/>
        </w:rPr>
      </w:pPr>
      <w:r w:rsidRPr="00830D55">
        <w:rPr>
          <w:rFonts w:ascii="Arial" w:eastAsia="Times New Roman" w:hAnsi="Arial" w:cs="Arial"/>
          <w:noProof/>
          <w:color w:val="0C7DBB"/>
          <w:sz w:val="21"/>
          <w:szCs w:val="21"/>
        </w:rPr>
        <w:drawing>
          <wp:inline distT="0" distB="0" distL="0" distR="0">
            <wp:extent cx="1076325" cy="1428750"/>
            <wp:effectExtent l="0" t="0" r="9525" b="0"/>
            <wp:docPr id="1" name="Picture 1" descr="Journal of Water Process Engineering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Journal of Water Process Engineering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0D55" w:rsidRPr="00830D55" w:rsidRDefault="00830D55" w:rsidP="00830D55">
      <w:pPr>
        <w:spacing w:beforeAutospacing="1" w:after="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color w:val="505050"/>
          <w:kern w:val="36"/>
          <w:sz w:val="48"/>
          <w:szCs w:val="48"/>
        </w:rPr>
      </w:pPr>
      <w:r w:rsidRPr="00830D55">
        <w:rPr>
          <w:rFonts w:ascii="Times New Roman" w:eastAsia="Times New Roman" w:hAnsi="Times New Roman" w:cs="Times New Roman"/>
          <w:b/>
          <w:bCs/>
          <w:color w:val="505050"/>
          <w:kern w:val="36"/>
          <w:sz w:val="48"/>
          <w:szCs w:val="48"/>
        </w:rPr>
        <w:t xml:space="preserve">Energy recovery from </w:t>
      </w:r>
      <w:proofErr w:type="spellStart"/>
      <w:r w:rsidRPr="00830D55">
        <w:rPr>
          <w:rFonts w:ascii="Times New Roman" w:eastAsia="Times New Roman" w:hAnsi="Times New Roman" w:cs="Times New Roman"/>
          <w:b/>
          <w:bCs/>
          <w:color w:val="505050"/>
          <w:kern w:val="36"/>
          <w:sz w:val="48"/>
          <w:szCs w:val="48"/>
        </w:rPr>
        <w:t>biomethanation</w:t>
      </w:r>
      <w:proofErr w:type="spellEnd"/>
      <w:r w:rsidRPr="00830D55">
        <w:rPr>
          <w:rFonts w:ascii="Times New Roman" w:eastAsia="Times New Roman" w:hAnsi="Times New Roman" w:cs="Times New Roman"/>
          <w:b/>
          <w:bCs/>
          <w:color w:val="505050"/>
          <w:kern w:val="36"/>
          <w:sz w:val="48"/>
          <w:szCs w:val="48"/>
        </w:rPr>
        <w:t xml:space="preserve"> of </w:t>
      </w:r>
      <w:proofErr w:type="spellStart"/>
      <w:r w:rsidRPr="00830D55">
        <w:rPr>
          <w:rFonts w:ascii="Times New Roman" w:eastAsia="Times New Roman" w:hAnsi="Times New Roman" w:cs="Times New Roman"/>
          <w:b/>
          <w:bCs/>
          <w:color w:val="505050"/>
          <w:kern w:val="36"/>
          <w:sz w:val="48"/>
          <w:szCs w:val="48"/>
        </w:rPr>
        <w:t>vinasse</w:t>
      </w:r>
      <w:proofErr w:type="spellEnd"/>
      <w:r w:rsidRPr="00830D55">
        <w:rPr>
          <w:rFonts w:ascii="Times New Roman" w:eastAsia="Times New Roman" w:hAnsi="Times New Roman" w:cs="Times New Roman"/>
          <w:b/>
          <w:bCs/>
          <w:color w:val="505050"/>
          <w:kern w:val="36"/>
          <w:sz w:val="48"/>
          <w:szCs w:val="48"/>
        </w:rPr>
        <w:t xml:space="preserve"> and its potential application in </w:t>
      </w:r>
      <w:proofErr w:type="spellStart"/>
      <w:r w:rsidRPr="00830D55">
        <w:rPr>
          <w:rFonts w:ascii="Times New Roman" w:eastAsia="Times New Roman" w:hAnsi="Times New Roman" w:cs="Times New Roman"/>
          <w:b/>
          <w:bCs/>
          <w:color w:val="505050"/>
          <w:kern w:val="36"/>
          <w:sz w:val="48"/>
          <w:szCs w:val="48"/>
        </w:rPr>
        <w:t>ozonation</w:t>
      </w:r>
      <w:proofErr w:type="spellEnd"/>
      <w:r w:rsidRPr="00830D55">
        <w:rPr>
          <w:rFonts w:ascii="Times New Roman" w:eastAsia="Times New Roman" w:hAnsi="Times New Roman" w:cs="Times New Roman"/>
          <w:b/>
          <w:bCs/>
          <w:color w:val="505050"/>
          <w:kern w:val="36"/>
          <w:sz w:val="48"/>
          <w:szCs w:val="48"/>
        </w:rPr>
        <w:t xml:space="preserve"> post-treatment for removal of </w:t>
      </w:r>
      <w:proofErr w:type="spellStart"/>
      <w:r w:rsidRPr="00830D55">
        <w:rPr>
          <w:rFonts w:ascii="Times New Roman" w:eastAsia="Times New Roman" w:hAnsi="Times New Roman" w:cs="Times New Roman"/>
          <w:b/>
          <w:bCs/>
          <w:color w:val="505050"/>
          <w:kern w:val="36"/>
          <w:sz w:val="48"/>
          <w:szCs w:val="48"/>
        </w:rPr>
        <w:t>biorecalcitrant</w:t>
      </w:r>
      <w:proofErr w:type="spellEnd"/>
      <w:r w:rsidRPr="00830D55">
        <w:rPr>
          <w:rFonts w:ascii="Times New Roman" w:eastAsia="Times New Roman" w:hAnsi="Times New Roman" w:cs="Times New Roman"/>
          <w:b/>
          <w:bCs/>
          <w:color w:val="505050"/>
          <w:kern w:val="36"/>
          <w:sz w:val="48"/>
          <w:szCs w:val="48"/>
        </w:rPr>
        <w:t xml:space="preserve"> organic compounds</w:t>
      </w:r>
    </w:p>
    <w:p w:rsidR="00830D55" w:rsidRPr="00830D55" w:rsidRDefault="00830D55" w:rsidP="00830D55">
      <w:pPr>
        <w:spacing w:after="0" w:line="240" w:lineRule="auto"/>
        <w:rPr>
          <w:rFonts w:ascii="Arial" w:eastAsia="Times New Roman" w:hAnsi="Arial" w:cs="Arial"/>
          <w:color w:val="2E2E2E"/>
          <w:sz w:val="21"/>
          <w:szCs w:val="21"/>
        </w:rPr>
      </w:pPr>
      <w:r w:rsidRPr="00830D55">
        <w:rPr>
          <w:rFonts w:ascii="Arial" w:eastAsia="Times New Roman" w:hAnsi="Arial" w:cs="Arial"/>
          <w:color w:val="2E2E2E"/>
          <w:sz w:val="21"/>
          <w:szCs w:val="21"/>
          <w:bdr w:val="none" w:sz="0" w:space="0" w:color="auto" w:frame="1"/>
        </w:rPr>
        <w:t xml:space="preserve">Author links open overlay </w:t>
      </w:r>
      <w:proofErr w:type="spellStart"/>
      <w:r w:rsidRPr="00830D55">
        <w:rPr>
          <w:rFonts w:ascii="Arial" w:eastAsia="Times New Roman" w:hAnsi="Arial" w:cs="Arial"/>
          <w:color w:val="2E2E2E"/>
          <w:sz w:val="21"/>
          <w:szCs w:val="21"/>
          <w:bdr w:val="none" w:sz="0" w:space="0" w:color="auto" w:frame="1"/>
        </w:rPr>
        <w:t>panel</w:t>
      </w:r>
      <w:bookmarkStart w:id="0" w:name="baut0005"/>
      <w:r w:rsidRPr="00830D55">
        <w:rPr>
          <w:rFonts w:ascii="Arial" w:eastAsia="Times New Roman" w:hAnsi="Arial" w:cs="Arial"/>
          <w:color w:val="2E2E2E"/>
          <w:sz w:val="21"/>
          <w:szCs w:val="21"/>
        </w:rPr>
        <w:fldChar w:fldCharType="begin"/>
      </w:r>
      <w:r w:rsidRPr="00830D55">
        <w:rPr>
          <w:rFonts w:ascii="Arial" w:eastAsia="Times New Roman" w:hAnsi="Arial" w:cs="Arial"/>
          <w:color w:val="2E2E2E"/>
          <w:sz w:val="21"/>
          <w:szCs w:val="21"/>
        </w:rPr>
        <w:instrText xml:space="preserve"> HYPERLINK "https://www.sciencedirect.com/science/article/abs/pii/S2214714420306012" \l "!" </w:instrText>
      </w:r>
      <w:r w:rsidRPr="00830D55">
        <w:rPr>
          <w:rFonts w:ascii="Arial" w:eastAsia="Times New Roman" w:hAnsi="Arial" w:cs="Arial"/>
          <w:color w:val="2E2E2E"/>
          <w:sz w:val="21"/>
          <w:szCs w:val="21"/>
        </w:rPr>
        <w:fldChar w:fldCharType="separate"/>
      </w:r>
      <w:r w:rsidRPr="00830D55">
        <w:rPr>
          <w:rFonts w:ascii="Arial" w:eastAsia="Times New Roman" w:hAnsi="Arial" w:cs="Arial"/>
          <w:color w:val="0C7DBB"/>
          <w:sz w:val="21"/>
          <w:szCs w:val="21"/>
        </w:rPr>
        <w:t>BentonOtieno</w:t>
      </w:r>
      <w:r w:rsidRPr="00830D55">
        <w:rPr>
          <w:rFonts w:ascii="Arial" w:eastAsia="Times New Roman" w:hAnsi="Arial" w:cs="Arial"/>
          <w:color w:val="0C7DBB"/>
          <w:sz w:val="16"/>
          <w:szCs w:val="16"/>
          <w:vertAlign w:val="superscript"/>
        </w:rPr>
        <w:t>ad</w:t>
      </w:r>
      <w:r w:rsidRPr="00830D55">
        <w:rPr>
          <w:rFonts w:ascii="Arial" w:eastAsia="Times New Roman" w:hAnsi="Arial" w:cs="Arial"/>
          <w:color w:val="2E2E2E"/>
          <w:sz w:val="21"/>
          <w:szCs w:val="21"/>
        </w:rPr>
        <w:fldChar w:fldCharType="end"/>
      </w:r>
      <w:bookmarkStart w:id="1" w:name="baut0010"/>
      <w:bookmarkEnd w:id="0"/>
      <w:r w:rsidRPr="00830D55">
        <w:rPr>
          <w:rFonts w:ascii="Arial" w:eastAsia="Times New Roman" w:hAnsi="Arial" w:cs="Arial"/>
          <w:color w:val="2E2E2E"/>
          <w:sz w:val="21"/>
          <w:szCs w:val="21"/>
        </w:rPr>
        <w:fldChar w:fldCharType="begin"/>
      </w:r>
      <w:r w:rsidRPr="00830D55">
        <w:rPr>
          <w:rFonts w:ascii="Arial" w:eastAsia="Times New Roman" w:hAnsi="Arial" w:cs="Arial"/>
          <w:color w:val="2E2E2E"/>
          <w:sz w:val="21"/>
          <w:szCs w:val="21"/>
        </w:rPr>
        <w:instrText xml:space="preserve"> HYPERLINK "https://www.sciencedirect.com/science/article/abs/pii/S2214714420306012" \l "!" </w:instrText>
      </w:r>
      <w:r w:rsidRPr="00830D55">
        <w:rPr>
          <w:rFonts w:ascii="Arial" w:eastAsia="Times New Roman" w:hAnsi="Arial" w:cs="Arial"/>
          <w:color w:val="2E2E2E"/>
          <w:sz w:val="21"/>
          <w:szCs w:val="21"/>
        </w:rPr>
        <w:fldChar w:fldCharType="separate"/>
      </w:r>
      <w:r w:rsidRPr="00830D55">
        <w:rPr>
          <w:rFonts w:ascii="Arial" w:eastAsia="Times New Roman" w:hAnsi="Arial" w:cs="Arial"/>
          <w:color w:val="0C7DBB"/>
          <w:sz w:val="21"/>
          <w:szCs w:val="21"/>
        </w:rPr>
        <w:t>SethApollo</w:t>
      </w:r>
      <w:r w:rsidRPr="00830D55">
        <w:rPr>
          <w:rFonts w:ascii="Arial" w:eastAsia="Times New Roman" w:hAnsi="Arial" w:cs="Arial"/>
          <w:color w:val="0C7DBB"/>
          <w:sz w:val="16"/>
          <w:szCs w:val="16"/>
          <w:vertAlign w:val="superscript"/>
        </w:rPr>
        <w:t>bc</w:t>
      </w:r>
      <w:proofErr w:type="spellEnd"/>
      <w:r w:rsidRPr="00830D55">
        <w:rPr>
          <w:rFonts w:ascii="Arial" w:eastAsia="Times New Roman" w:hAnsi="Arial" w:cs="Arial"/>
          <w:color w:val="2E2E2E"/>
          <w:sz w:val="21"/>
          <w:szCs w:val="21"/>
        </w:rPr>
        <w:fldChar w:fldCharType="end"/>
      </w:r>
      <w:bookmarkEnd w:id="1"/>
    </w:p>
    <w:p w:rsidR="00830D55" w:rsidRPr="00830D55" w:rsidRDefault="00830D55" w:rsidP="00830D55">
      <w:pPr>
        <w:spacing w:after="0" w:line="240" w:lineRule="auto"/>
        <w:rPr>
          <w:rFonts w:ascii="Arial" w:eastAsia="Times New Roman" w:hAnsi="Arial" w:cs="Arial"/>
          <w:color w:val="2E2E2E"/>
          <w:sz w:val="21"/>
          <w:szCs w:val="21"/>
        </w:rPr>
      </w:pPr>
      <w:r w:rsidRPr="00830D55">
        <w:rPr>
          <w:rFonts w:ascii="Arial" w:eastAsia="Times New Roman" w:hAnsi="Arial" w:cs="Arial"/>
          <w:b/>
          <w:bCs/>
          <w:color w:val="0C7DBB"/>
          <w:sz w:val="21"/>
          <w:szCs w:val="21"/>
        </w:rPr>
        <w:t>Show more</w:t>
      </w:r>
    </w:p>
    <w:p w:rsidR="00830D55" w:rsidRPr="00830D55" w:rsidRDefault="00830D55" w:rsidP="00830D55">
      <w:pPr>
        <w:spacing w:after="0" w:line="240" w:lineRule="auto"/>
        <w:rPr>
          <w:rFonts w:ascii="Arial" w:eastAsia="Times New Roman" w:hAnsi="Arial" w:cs="Arial"/>
          <w:color w:val="2E2E2E"/>
          <w:sz w:val="21"/>
          <w:szCs w:val="21"/>
        </w:rPr>
      </w:pPr>
      <w:r w:rsidRPr="00830D55">
        <w:rPr>
          <w:rFonts w:ascii="Arial" w:eastAsia="Times New Roman" w:hAnsi="Arial" w:cs="Arial"/>
          <w:color w:val="2E2E2E"/>
          <w:sz w:val="24"/>
          <w:szCs w:val="24"/>
        </w:rPr>
        <w:t>Add to Mendeley</w:t>
      </w:r>
    </w:p>
    <w:p w:rsidR="00830D55" w:rsidRPr="00830D55" w:rsidRDefault="00830D55" w:rsidP="00830D55">
      <w:pPr>
        <w:spacing w:after="0" w:line="240" w:lineRule="auto"/>
        <w:rPr>
          <w:rFonts w:ascii="Arial" w:eastAsia="Times New Roman" w:hAnsi="Arial" w:cs="Arial"/>
          <w:color w:val="2E2E2E"/>
          <w:sz w:val="21"/>
          <w:szCs w:val="21"/>
        </w:rPr>
      </w:pPr>
      <w:r w:rsidRPr="00830D55">
        <w:rPr>
          <w:rFonts w:ascii="Arial" w:eastAsia="Times New Roman" w:hAnsi="Arial" w:cs="Arial"/>
          <w:color w:val="323232"/>
          <w:sz w:val="24"/>
          <w:szCs w:val="24"/>
        </w:rPr>
        <w:t>Share</w:t>
      </w:r>
    </w:p>
    <w:p w:rsidR="00830D55" w:rsidRPr="00830D55" w:rsidRDefault="00830D55" w:rsidP="00830D55">
      <w:pPr>
        <w:spacing w:after="120" w:line="240" w:lineRule="auto"/>
        <w:rPr>
          <w:rFonts w:ascii="Arial" w:eastAsia="Times New Roman" w:hAnsi="Arial" w:cs="Arial"/>
          <w:color w:val="2E2E2E"/>
          <w:sz w:val="21"/>
          <w:szCs w:val="21"/>
        </w:rPr>
      </w:pPr>
      <w:r w:rsidRPr="00830D55">
        <w:rPr>
          <w:rFonts w:ascii="Arial" w:eastAsia="Times New Roman" w:hAnsi="Arial" w:cs="Arial"/>
          <w:color w:val="323232"/>
          <w:sz w:val="24"/>
          <w:szCs w:val="24"/>
        </w:rPr>
        <w:t>Cite</w:t>
      </w:r>
    </w:p>
    <w:p w:rsidR="00830D55" w:rsidRPr="00830D55" w:rsidRDefault="00830D55" w:rsidP="00830D55">
      <w:pPr>
        <w:spacing w:after="0" w:line="360" w:lineRule="atLeast"/>
        <w:rPr>
          <w:rFonts w:ascii="Arial" w:eastAsia="Times New Roman" w:hAnsi="Arial" w:cs="Arial"/>
          <w:color w:val="2E2E2E"/>
          <w:sz w:val="21"/>
          <w:szCs w:val="21"/>
        </w:rPr>
      </w:pPr>
      <w:hyperlink r:id="rId10" w:tgtFrame="_blank" w:tooltip="Persistent link using digital object identifier" w:history="1">
        <w:r w:rsidRPr="00830D55">
          <w:rPr>
            <w:rFonts w:ascii="Arial" w:eastAsia="Times New Roman" w:hAnsi="Arial" w:cs="Arial"/>
            <w:color w:val="0C7DBB"/>
            <w:sz w:val="21"/>
            <w:szCs w:val="21"/>
            <w:u w:val="single"/>
          </w:rPr>
          <w:t>https://doi.org/10.1016/j.jwpe.2020.101723</w:t>
        </w:r>
      </w:hyperlink>
      <w:hyperlink r:id="rId11" w:tgtFrame="_blank" w:history="1">
        <w:r w:rsidRPr="00830D55">
          <w:rPr>
            <w:rFonts w:ascii="Arial" w:eastAsia="Times New Roman" w:hAnsi="Arial" w:cs="Arial"/>
            <w:color w:val="0C7DBB"/>
            <w:sz w:val="21"/>
            <w:szCs w:val="21"/>
            <w:u w:val="single"/>
          </w:rPr>
          <w:t>Get rights and content</w:t>
        </w:r>
      </w:hyperlink>
    </w:p>
    <w:p w:rsidR="00830D55" w:rsidRPr="00830D55" w:rsidRDefault="00830D55" w:rsidP="00830D55">
      <w:pPr>
        <w:spacing w:before="100" w:beforeAutospacing="1" w:after="100" w:afterAutospacing="1" w:line="390" w:lineRule="atLeast"/>
        <w:outlineLvl w:val="1"/>
        <w:rPr>
          <w:rFonts w:ascii="Times New Roman" w:eastAsia="Times New Roman" w:hAnsi="Times New Roman" w:cs="Times New Roman"/>
          <w:b/>
          <w:bCs/>
          <w:color w:val="505050"/>
          <w:sz w:val="36"/>
          <w:szCs w:val="36"/>
        </w:rPr>
      </w:pPr>
      <w:r w:rsidRPr="00830D55">
        <w:rPr>
          <w:rFonts w:ascii="Times New Roman" w:eastAsia="Times New Roman" w:hAnsi="Times New Roman" w:cs="Times New Roman"/>
          <w:b/>
          <w:bCs/>
          <w:color w:val="505050"/>
          <w:sz w:val="36"/>
          <w:szCs w:val="36"/>
        </w:rPr>
        <w:t>Abstract</w:t>
      </w:r>
    </w:p>
    <w:p w:rsidR="00830D55" w:rsidRPr="00830D55" w:rsidRDefault="00830D55" w:rsidP="00830D55">
      <w:pPr>
        <w:spacing w:after="120" w:line="390" w:lineRule="atLeast"/>
        <w:rPr>
          <w:rFonts w:ascii="Times New Roman" w:eastAsia="Times New Roman" w:hAnsi="Times New Roman" w:cs="Times New Roman"/>
          <w:color w:val="2E2E2E"/>
          <w:sz w:val="27"/>
          <w:szCs w:val="27"/>
        </w:rPr>
      </w:pPr>
      <w:proofErr w:type="spellStart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Vinasse</w:t>
      </w:r>
      <w:proofErr w:type="spellEnd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 is characterized by a high chemical oxygen demand (COD) and dark brown </w:t>
      </w:r>
      <w:proofErr w:type="spellStart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colour</w:t>
      </w:r>
      <w:proofErr w:type="spellEnd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, which requires abatement before disposal to prevent the pollution of receiving streams. Anaerobic digestion (AD) usually applied for </w:t>
      </w:r>
      <w:proofErr w:type="spellStart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vinasse</w:t>
      </w:r>
      <w:proofErr w:type="spellEnd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 treatment can only reduce the COD with the </w:t>
      </w:r>
      <w:proofErr w:type="spellStart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colour</w:t>
      </w:r>
      <w:proofErr w:type="spellEnd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 remaining unabated. This study investigated the feasibility of combining AD and </w:t>
      </w:r>
      <w:proofErr w:type="spellStart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ozonation</w:t>
      </w:r>
      <w:proofErr w:type="spellEnd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 for </w:t>
      </w:r>
      <w:proofErr w:type="spellStart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vinasse</w:t>
      </w:r>
      <w:proofErr w:type="spellEnd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 treatment. The AD process </w:t>
      </w:r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lastRenderedPageBreak/>
        <w:t xml:space="preserve">alone achieved high COD removal of 95 %, at a best organic loading rate of 15 </w:t>
      </w:r>
      <w:proofErr w:type="spellStart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kgCOD</w:t>
      </w:r>
      <w:proofErr w:type="spellEnd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/m</w:t>
      </w:r>
      <w:r w:rsidRPr="00830D55">
        <w:rPr>
          <w:rFonts w:ascii="Times New Roman" w:eastAsia="Times New Roman" w:hAnsi="Times New Roman" w:cs="Times New Roman"/>
          <w:color w:val="2E2E2E"/>
          <w:sz w:val="20"/>
          <w:szCs w:val="20"/>
          <w:vertAlign w:val="superscript"/>
        </w:rPr>
        <w:t>3</w:t>
      </w:r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/d. However, the anaerobic effluent still had an intense dark brown </w:t>
      </w:r>
      <w:proofErr w:type="spellStart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colour</w:t>
      </w:r>
      <w:proofErr w:type="spellEnd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 caused by a considerable amount of residual </w:t>
      </w:r>
      <w:proofErr w:type="spellStart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biorecalcitrant</w:t>
      </w:r>
      <w:proofErr w:type="spellEnd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 COD of 4.5 g/L. The </w:t>
      </w:r>
      <w:proofErr w:type="spellStart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ozonation</w:t>
      </w:r>
      <w:proofErr w:type="spellEnd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 post-treatment of the anaerobic effluent removed 80 % of the </w:t>
      </w:r>
      <w:proofErr w:type="spellStart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colour</w:t>
      </w:r>
      <w:proofErr w:type="spellEnd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 with up to 92 % ozone transfer at optimal parameters of pH 4, substrate dilution factor of 2, and 90 mg/L/min ozone dosage. Kinetic analysis showed that for a constant feed flow combined system, the ratio of the anaerobic reactor unit to the </w:t>
      </w:r>
      <w:proofErr w:type="spellStart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ozonation</w:t>
      </w:r>
      <w:proofErr w:type="spellEnd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 reactor unit is recommended to be 20:1. Also, from energy analysis, application of the bioenergy produced from AD to supplement the total energy requirement of the combined system could lead to 50 % savings on energy, and a carbon dioxide emission reduction of 122 kg CO</w:t>
      </w:r>
      <w:r w:rsidRPr="00830D55">
        <w:rPr>
          <w:rFonts w:ascii="Times New Roman" w:eastAsia="Times New Roman" w:hAnsi="Times New Roman" w:cs="Times New Roman"/>
          <w:color w:val="2E2E2E"/>
          <w:sz w:val="20"/>
          <w:szCs w:val="20"/>
          <w:vertAlign w:val="subscript"/>
        </w:rPr>
        <w:t>2</w:t>
      </w:r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/m</w:t>
      </w:r>
      <w:r w:rsidRPr="00830D55">
        <w:rPr>
          <w:rFonts w:ascii="Times New Roman" w:eastAsia="Times New Roman" w:hAnsi="Times New Roman" w:cs="Times New Roman"/>
          <w:color w:val="2E2E2E"/>
          <w:sz w:val="20"/>
          <w:szCs w:val="20"/>
          <w:vertAlign w:val="superscript"/>
        </w:rPr>
        <w:t>3</w:t>
      </w:r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 of </w:t>
      </w:r>
      <w:proofErr w:type="spellStart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vinasse</w:t>
      </w:r>
      <w:proofErr w:type="spellEnd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 treated. The combined system is thus a promising technology for </w:t>
      </w:r>
      <w:proofErr w:type="spellStart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vinasse</w:t>
      </w:r>
      <w:proofErr w:type="spellEnd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 treatment and can contribute to combating greenhouse gas emissions.</w:t>
      </w:r>
    </w:p>
    <w:p w:rsidR="00830D55" w:rsidRPr="00830D55" w:rsidRDefault="00830D55" w:rsidP="00830D55">
      <w:pPr>
        <w:spacing w:before="240" w:after="100" w:afterAutospacing="1" w:line="420" w:lineRule="atLeast"/>
        <w:outlineLvl w:val="1"/>
        <w:rPr>
          <w:rFonts w:ascii="Times New Roman" w:eastAsia="Times New Roman" w:hAnsi="Times New Roman" w:cs="Times New Roman"/>
          <w:b/>
          <w:bCs/>
          <w:color w:val="505050"/>
          <w:sz w:val="36"/>
          <w:szCs w:val="36"/>
        </w:rPr>
      </w:pPr>
      <w:r w:rsidRPr="00830D55">
        <w:rPr>
          <w:rFonts w:ascii="Times New Roman" w:eastAsia="Times New Roman" w:hAnsi="Times New Roman" w:cs="Times New Roman"/>
          <w:b/>
          <w:bCs/>
          <w:color w:val="505050"/>
          <w:sz w:val="36"/>
          <w:szCs w:val="36"/>
        </w:rPr>
        <w:t>Keywords</w:t>
      </w:r>
    </w:p>
    <w:p w:rsidR="00830D55" w:rsidRPr="00830D55" w:rsidRDefault="00830D55" w:rsidP="00830D55">
      <w:pPr>
        <w:spacing w:after="0" w:line="420" w:lineRule="atLeast"/>
        <w:rPr>
          <w:rFonts w:ascii="Times New Roman" w:eastAsia="Times New Roman" w:hAnsi="Times New Roman" w:cs="Times New Roman"/>
          <w:color w:val="2E2E2E"/>
          <w:sz w:val="27"/>
          <w:szCs w:val="27"/>
        </w:rPr>
      </w:pPr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Anaerobic digestion</w:t>
      </w:r>
      <w:r w:rsidR="0063577F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; </w:t>
      </w:r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Cost reduction</w:t>
      </w:r>
      <w:r w:rsidR="0063577F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; </w:t>
      </w:r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Energy recovery</w:t>
      </w:r>
      <w:r w:rsidR="0063577F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; </w:t>
      </w:r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Organic load</w:t>
      </w:r>
      <w:r w:rsidR="0063577F">
        <w:rPr>
          <w:rFonts w:ascii="Times New Roman" w:eastAsia="Times New Roman" w:hAnsi="Times New Roman" w:cs="Times New Roman"/>
          <w:color w:val="2E2E2E"/>
          <w:sz w:val="27"/>
          <w:szCs w:val="27"/>
        </w:rPr>
        <w:t xml:space="preserve">; </w:t>
      </w:r>
      <w:bookmarkStart w:id="2" w:name="_GoBack"/>
      <w:bookmarkEnd w:id="2"/>
      <w:r w:rsidRPr="00830D55">
        <w:rPr>
          <w:rFonts w:ascii="Times New Roman" w:eastAsia="Times New Roman" w:hAnsi="Times New Roman" w:cs="Times New Roman"/>
          <w:color w:val="2E2E2E"/>
          <w:sz w:val="27"/>
          <w:szCs w:val="27"/>
        </w:rPr>
        <w:t>Ozone</w:t>
      </w:r>
    </w:p>
    <w:p w:rsidR="00266149" w:rsidRDefault="0063577F"/>
    <w:sectPr w:rsidR="0026614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4256F1"/>
    <w:multiLevelType w:val="multilevel"/>
    <w:tmpl w:val="23746D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0D55"/>
    <w:rsid w:val="0063577F"/>
    <w:rsid w:val="006B6F6C"/>
    <w:rsid w:val="00830D55"/>
    <w:rsid w:val="00A84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4911DE-6C55-48F6-9114-EDFA254A5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830D5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830D5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30D5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830D55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Hyperlink">
    <w:name w:val="Hyperlink"/>
    <w:basedOn w:val="DefaultParagraphFont"/>
    <w:uiPriority w:val="99"/>
    <w:semiHidden/>
    <w:unhideWhenUsed/>
    <w:rsid w:val="00830D55"/>
    <w:rPr>
      <w:color w:val="0000FF"/>
      <w:u w:val="single"/>
    </w:rPr>
  </w:style>
  <w:style w:type="character" w:customStyle="1" w:styleId="title-text">
    <w:name w:val="title-text"/>
    <w:basedOn w:val="DefaultParagraphFont"/>
    <w:rsid w:val="00830D55"/>
  </w:style>
  <w:style w:type="character" w:customStyle="1" w:styleId="sr-only">
    <w:name w:val="sr-only"/>
    <w:basedOn w:val="DefaultParagraphFont"/>
    <w:rsid w:val="00830D55"/>
  </w:style>
  <w:style w:type="character" w:customStyle="1" w:styleId="text">
    <w:name w:val="text"/>
    <w:basedOn w:val="DefaultParagraphFont"/>
    <w:rsid w:val="00830D55"/>
  </w:style>
  <w:style w:type="character" w:customStyle="1" w:styleId="author-ref">
    <w:name w:val="author-ref"/>
    <w:basedOn w:val="DefaultParagraphFont"/>
    <w:rsid w:val="00830D55"/>
  </w:style>
  <w:style w:type="character" w:customStyle="1" w:styleId="button-text">
    <w:name w:val="button-text"/>
    <w:basedOn w:val="DefaultParagraphFont"/>
    <w:rsid w:val="00830D55"/>
  </w:style>
  <w:style w:type="character" w:customStyle="1" w:styleId="button-link-text">
    <w:name w:val="button-link-text"/>
    <w:basedOn w:val="DefaultParagraphFont"/>
    <w:rsid w:val="00830D55"/>
  </w:style>
  <w:style w:type="paragraph" w:styleId="NormalWeb">
    <w:name w:val="Normal (Web)"/>
    <w:basedOn w:val="Normal"/>
    <w:uiPriority w:val="99"/>
    <w:semiHidden/>
    <w:unhideWhenUsed/>
    <w:rsid w:val="00830D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830D55"/>
    <w:rPr>
      <w:b/>
      <w:bCs/>
    </w:rPr>
  </w:style>
  <w:style w:type="character" w:customStyle="1" w:styleId="extra-detail-1">
    <w:name w:val="extra-detail-1"/>
    <w:basedOn w:val="DefaultParagraphFont"/>
    <w:rsid w:val="00830D55"/>
  </w:style>
  <w:style w:type="character" w:customStyle="1" w:styleId="extra-detail-2">
    <w:name w:val="extra-detail-2"/>
    <w:basedOn w:val="DefaultParagraphFont"/>
    <w:rsid w:val="00830D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812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9902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single" w:sz="12" w:space="9" w:color="EBEBEB"/>
            <w:right w:val="none" w:sz="0" w:space="0" w:color="auto"/>
          </w:divBdr>
          <w:divsChild>
            <w:div w:id="471098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25800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0879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54049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268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301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6621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65843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000000"/>
                <w:right w:val="none" w:sz="0" w:space="0" w:color="auto"/>
              </w:divBdr>
              <w:divsChild>
                <w:div w:id="1955012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990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112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3827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313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9986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1131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87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292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154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59657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single" w:sz="12" w:space="24" w:color="EBEBEB"/>
            <w:right w:val="none" w:sz="0" w:space="0" w:color="auto"/>
          </w:divBdr>
          <w:divsChild>
            <w:div w:id="30751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1014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137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4242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75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931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iencedirect.com/science/journal/22147144/39/supp/C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sciencedirect.com/science/journal/22147144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s100.copyright.com/AppDispatchServlet?publisherName=ELS&amp;contentID=S2214714420306012&amp;orderBeanReset=true" TargetMode="External"/><Relationship Id="rId5" Type="http://schemas.openxmlformats.org/officeDocument/2006/relationships/hyperlink" Target="https://www.sciencedirect.com/science/journal/22147144" TargetMode="External"/><Relationship Id="rId10" Type="http://schemas.openxmlformats.org/officeDocument/2006/relationships/hyperlink" Target="https://doi.org/10.1016/j.jwpe.2020.101723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388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E-resources</dc:creator>
  <cp:keywords/>
  <dc:description/>
  <cp:lastModifiedBy>E-resources</cp:lastModifiedBy>
  <cp:revision>2</cp:revision>
  <dcterms:created xsi:type="dcterms:W3CDTF">2021-08-06T10:56:00Z</dcterms:created>
  <dcterms:modified xsi:type="dcterms:W3CDTF">2021-08-06T10:59:00Z</dcterms:modified>
</cp:coreProperties>
</file>