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word/header3.xml" ContentType="application/vnd.openxmlformats-officedocument.wordprocessingml.header+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document.xml" ContentType="application/vnd.openxmlformats-officedocument.wordprocessingml.document.main+xml"/>
  <Override PartName="/customXml/itemProps1.xml" ContentType="application/vnd.openxmlformats-officedocument.customXmlProperties+xml"/>
  <Override PartName="/word/footer2.xml" ContentType="application/vnd.openxmlformats-officedocument.wordprocessingml.footer+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jc w:val="center"/>
        <w:rPr>
          <w:rFonts w:cs="Times New Roman"/>
          <w:b/>
          <w:bCs/>
          <w:color w:val="222222"/>
          <w:sz w:val="32"/>
          <w:szCs w:val="32"/>
          <w:shd w:val="clear" w:color="auto" w:fill="ffffff"/>
        </w:rPr>
      </w:pPr>
    </w:p>
    <w:p>
      <w:pPr>
        <w:pStyle w:val="style0"/>
        <w:jc w:val="center"/>
        <w:rPr>
          <w:rFonts w:cs="Times New Roman"/>
          <w:b/>
          <w:bCs/>
          <w:color w:val="222222"/>
          <w:sz w:val="32"/>
          <w:szCs w:val="32"/>
          <w:shd w:val="clear" w:color="auto" w:fill="ffffff"/>
        </w:rPr>
      </w:pPr>
    </w:p>
    <w:p>
      <w:pPr>
        <w:pStyle w:val="style0"/>
        <w:jc w:val="center"/>
        <w:rPr>
          <w:rFonts w:cs="Times New Roman"/>
          <w:b/>
          <w:bCs/>
          <w:color w:val="222222"/>
          <w:sz w:val="32"/>
          <w:szCs w:val="32"/>
          <w:shd w:val="clear" w:color="auto" w:fill="ffffff"/>
        </w:rPr>
      </w:pPr>
    </w:p>
    <w:p>
      <w:pPr>
        <w:pStyle w:val="style0"/>
        <w:jc w:val="center"/>
        <w:rPr>
          <w:rFonts w:cs="Times New Roman"/>
          <w:b/>
          <w:bCs/>
          <w:color w:val="222222"/>
          <w:sz w:val="32"/>
          <w:szCs w:val="32"/>
          <w:shd w:val="clear" w:color="auto" w:fill="ffffff"/>
        </w:rPr>
      </w:pPr>
      <w:r>
        <w:rPr>
          <w:rFonts w:cs="Times New Roman"/>
          <w:b/>
          <w:bCs/>
          <w:color w:val="222222"/>
          <w:sz w:val="32"/>
          <w:szCs w:val="32"/>
          <w:shd w:val="clear" w:color="auto" w:fill="ffffff"/>
        </w:rPr>
        <w:t>UNIVERSITY OF EMBU</w:t>
      </w:r>
    </w:p>
    <w:p>
      <w:pPr>
        <w:pStyle w:val="style0"/>
        <w:jc w:val="center"/>
        <w:rPr>
          <w:rFonts w:cs="Times New Roman"/>
          <w:b/>
          <w:bCs/>
          <w:color w:val="222222"/>
          <w:sz w:val="32"/>
          <w:szCs w:val="32"/>
          <w:shd w:val="clear" w:color="auto" w:fill="ffffff"/>
        </w:rPr>
      </w:pPr>
    </w:p>
    <w:p>
      <w:pPr>
        <w:pStyle w:val="style0"/>
        <w:jc w:val="center"/>
        <w:rPr>
          <w:rFonts w:cs="Times New Roman"/>
          <w:b/>
          <w:bCs/>
          <w:color w:val="222222"/>
          <w:sz w:val="32"/>
          <w:szCs w:val="32"/>
          <w:shd w:val="clear" w:color="auto" w:fill="ffffff"/>
        </w:rPr>
      </w:pPr>
    </w:p>
    <w:p>
      <w:pPr>
        <w:pStyle w:val="style0"/>
        <w:jc w:val="center"/>
        <w:rPr>
          <w:rFonts w:cs="Times New Roman"/>
          <w:b/>
          <w:bCs/>
          <w:color w:val="222222"/>
          <w:sz w:val="32"/>
          <w:szCs w:val="32"/>
          <w:shd w:val="clear" w:color="auto" w:fill="ffffff"/>
        </w:rPr>
      </w:pPr>
    </w:p>
    <w:p>
      <w:pPr>
        <w:pStyle w:val="style0"/>
        <w:jc w:val="center"/>
        <w:rPr>
          <w:rFonts w:cs="Times New Roman"/>
          <w:b/>
          <w:bCs/>
          <w:color w:val="222222"/>
          <w:sz w:val="32"/>
          <w:szCs w:val="32"/>
          <w:shd w:val="clear" w:color="auto" w:fill="ffffff"/>
        </w:rPr>
      </w:pPr>
    </w:p>
    <w:p>
      <w:pPr>
        <w:pStyle w:val="style0"/>
        <w:jc w:val="center"/>
        <w:rPr>
          <w:rFonts w:cs="Times New Roman" w:eastAsia="Times New Roman"/>
          <w:b/>
          <w:color w:val="222222"/>
          <w:sz w:val="32"/>
          <w:szCs w:val="32"/>
        </w:rPr>
      </w:pPr>
      <w:r>
        <w:rPr>
          <w:rFonts w:cs="Times New Roman" w:eastAsia="Times New Roman"/>
          <w:b/>
          <w:color w:val="222222"/>
          <w:sz w:val="32"/>
          <w:szCs w:val="32"/>
        </w:rPr>
        <w:t>PETER NJUNGE MWANGI</w:t>
      </w:r>
    </w:p>
    <w:p>
      <w:pPr>
        <w:pStyle w:val="style0"/>
        <w:jc w:val="center"/>
        <w:rPr>
          <w:rFonts w:cs="Times New Roman" w:eastAsia="Times New Roman"/>
          <w:b/>
          <w:color w:val="222222"/>
          <w:sz w:val="32"/>
          <w:szCs w:val="32"/>
        </w:rPr>
      </w:pPr>
    </w:p>
    <w:p>
      <w:pPr>
        <w:pStyle w:val="style0"/>
        <w:jc w:val="center"/>
        <w:rPr>
          <w:rFonts w:cs="Times New Roman" w:eastAsia="Times New Roman"/>
          <w:b/>
          <w:color w:val="222222"/>
          <w:sz w:val="32"/>
          <w:szCs w:val="32"/>
        </w:rPr>
      </w:pPr>
    </w:p>
    <w:p>
      <w:pPr>
        <w:pStyle w:val="style0"/>
        <w:jc w:val="center"/>
        <w:rPr>
          <w:rFonts w:cs="Times New Roman" w:eastAsia="Times New Roman"/>
          <w:b/>
          <w:color w:val="222222"/>
          <w:sz w:val="32"/>
          <w:szCs w:val="32"/>
        </w:rPr>
      </w:pPr>
    </w:p>
    <w:p>
      <w:pPr>
        <w:pStyle w:val="style0"/>
        <w:jc w:val="center"/>
        <w:rPr>
          <w:rFonts w:cs="Times New Roman"/>
          <w:b/>
          <w:sz w:val="32"/>
          <w:szCs w:val="32"/>
        </w:rPr>
      </w:pPr>
      <w:r>
        <w:rPr>
          <w:rFonts w:cs="Times New Roman"/>
          <w:b/>
          <w:sz w:val="32"/>
          <w:szCs w:val="32"/>
        </w:rPr>
        <w:t xml:space="preserve">MASTER’S THESIS </w:t>
      </w:r>
    </w:p>
    <w:p>
      <w:pPr>
        <w:pStyle w:val="style0"/>
        <w:jc w:val="center"/>
        <w:rPr>
          <w:rFonts w:cs="Times New Roman"/>
          <w:b/>
          <w:sz w:val="32"/>
          <w:szCs w:val="32"/>
        </w:rPr>
      </w:pPr>
    </w:p>
    <w:p>
      <w:pPr>
        <w:pStyle w:val="style0"/>
        <w:jc w:val="center"/>
        <w:rPr>
          <w:rFonts w:cs="Times New Roman"/>
          <w:b/>
          <w:sz w:val="32"/>
          <w:szCs w:val="32"/>
        </w:rPr>
      </w:pPr>
    </w:p>
    <w:p>
      <w:pPr>
        <w:pStyle w:val="style0"/>
        <w:jc w:val="center"/>
        <w:rPr>
          <w:rFonts w:cs="Times New Roman"/>
          <w:b/>
          <w:sz w:val="32"/>
          <w:szCs w:val="32"/>
        </w:rPr>
      </w:pPr>
    </w:p>
    <w:p>
      <w:pPr>
        <w:pStyle w:val="style0"/>
        <w:jc w:val="center"/>
        <w:rPr>
          <w:rFonts w:cs="Times New Roman"/>
          <w:b/>
          <w:sz w:val="32"/>
          <w:szCs w:val="32"/>
        </w:rPr>
      </w:pPr>
      <w:r>
        <w:rPr>
          <w:rFonts w:cs="Times New Roman"/>
          <w:b/>
          <w:sz w:val="32"/>
          <w:szCs w:val="32"/>
        </w:rPr>
        <w:t xml:space="preserve">AUGUST, 2023 </w:t>
      </w:r>
    </w:p>
    <w:p>
      <w:pPr>
        <w:pStyle w:val="style0"/>
        <w:jc w:val="center"/>
        <w:rPr>
          <w:rFonts w:cs="Times New Roman"/>
          <w:b/>
          <w:bCs/>
          <w:color w:val="222222"/>
          <w:sz w:val="28"/>
          <w:szCs w:val="28"/>
          <w:shd w:val="clear" w:color="auto" w:fill="ffffff"/>
        </w:rPr>
      </w:pPr>
    </w:p>
    <w:p>
      <w:pPr>
        <w:pStyle w:val="style0"/>
        <w:spacing w:before="0" w:after="200" w:lineRule="auto" w:line="276"/>
        <w:jc w:val="left"/>
        <w:rPr>
          <w:rFonts w:cs="Times New Roman"/>
          <w:b/>
          <w:bCs/>
          <w:color w:val="222222"/>
          <w:sz w:val="28"/>
          <w:szCs w:val="28"/>
          <w:shd w:val="clear" w:color="auto" w:fill="ffffff"/>
        </w:rPr>
      </w:pPr>
      <w:r>
        <w:rPr>
          <w:rFonts w:cs="Times New Roman"/>
          <w:b/>
          <w:bCs/>
          <w:color w:val="222222"/>
          <w:sz w:val="28"/>
          <w:szCs w:val="28"/>
          <w:shd w:val="clear" w:color="auto" w:fill="ffffff"/>
        </w:rPr>
        <w:br w:type="page"/>
      </w:r>
    </w:p>
    <w:p>
      <w:pPr>
        <w:pStyle w:val="style0"/>
        <w:jc w:val="center"/>
        <w:rPr>
          <w:rFonts w:cs="Times New Roman"/>
          <w:b/>
          <w:sz w:val="28"/>
          <w:szCs w:val="28"/>
        </w:rPr>
      </w:pPr>
      <w:r>
        <w:rPr>
          <w:rFonts w:cs="Times New Roman"/>
          <w:b/>
          <w:bCs/>
          <w:color w:val="222222"/>
          <w:sz w:val="28"/>
          <w:szCs w:val="28"/>
          <w:shd w:val="clear" w:color="auto" w:fill="ffffff"/>
        </w:rPr>
        <w:t xml:space="preserve">SOCIOECONOMIC FACTORS </w:t>
      </w:r>
      <w:r>
        <w:rPr>
          <w:rFonts w:cs="Times New Roman"/>
          <w:b/>
          <w:bCs/>
          <w:color w:val="222222"/>
          <w:sz w:val="28"/>
          <w:szCs w:val="28"/>
          <w:shd w:val="clear" w:color="auto" w:fill="ffffff"/>
        </w:rPr>
        <w:t>AND</w:t>
      </w:r>
      <w:r>
        <w:rPr>
          <w:rFonts w:cs="Times New Roman"/>
          <w:b/>
          <w:bCs/>
          <w:color w:val="222222"/>
          <w:sz w:val="28"/>
          <w:szCs w:val="28"/>
          <w:shd w:val="clear" w:color="auto" w:fill="ffffff"/>
        </w:rPr>
        <w:t xml:space="preserve"> </w:t>
      </w:r>
      <w:r>
        <w:rPr>
          <w:rFonts w:cs="Times New Roman"/>
          <w:b/>
          <w:bCs/>
          <w:color w:val="222222"/>
          <w:sz w:val="28"/>
          <w:szCs w:val="28"/>
          <w:shd w:val="clear" w:color="auto" w:fill="ffffff"/>
        </w:rPr>
        <w:t>PUPILS’</w:t>
      </w:r>
      <w:r>
        <w:rPr>
          <w:rFonts w:cs="Times New Roman"/>
          <w:b/>
          <w:bCs/>
          <w:color w:val="222222"/>
          <w:sz w:val="28"/>
          <w:szCs w:val="28"/>
          <w:shd w:val="clear" w:color="auto" w:fill="ffffff"/>
        </w:rPr>
        <w:t xml:space="preserve"> </w:t>
      </w:r>
      <w:r>
        <w:rPr>
          <w:rFonts w:cs="Times New Roman"/>
          <w:b/>
          <w:bCs/>
          <w:color w:val="222222"/>
          <w:sz w:val="28"/>
          <w:szCs w:val="28"/>
          <w:shd w:val="clear" w:color="auto" w:fill="ffffff"/>
        </w:rPr>
        <w:t>ACADEMIC ACHIEVEMENT</w:t>
      </w:r>
      <w:r>
        <w:rPr>
          <w:rFonts w:cs="Times New Roman"/>
          <w:b/>
          <w:bCs/>
          <w:color w:val="222222"/>
          <w:sz w:val="28"/>
          <w:szCs w:val="28"/>
          <w:shd w:val="clear" w:color="auto" w:fill="ffffff"/>
        </w:rPr>
        <w:t xml:space="preserve"> </w:t>
      </w:r>
      <w:r>
        <w:rPr>
          <w:rFonts w:cs="Times New Roman"/>
          <w:b/>
          <w:bCs/>
          <w:color w:val="222222"/>
          <w:sz w:val="28"/>
          <w:szCs w:val="28"/>
          <w:shd w:val="clear" w:color="auto" w:fill="ffffff"/>
        </w:rPr>
        <w:t>IN</w:t>
      </w:r>
      <w:r>
        <w:rPr>
          <w:rFonts w:cs="Times New Roman"/>
          <w:b/>
          <w:bCs/>
          <w:color w:val="222222"/>
          <w:sz w:val="28"/>
          <w:szCs w:val="28"/>
          <w:shd w:val="clear" w:color="auto" w:fill="ffffff"/>
        </w:rPr>
        <w:t xml:space="preserve"> PUBLIC PRIMARY SCHOOLS</w:t>
      </w:r>
      <w:r>
        <w:rPr>
          <w:rFonts w:cs="Times New Roman"/>
          <w:b/>
          <w:bCs/>
          <w:color w:val="222222"/>
          <w:sz w:val="28"/>
          <w:szCs w:val="28"/>
          <w:shd w:val="clear" w:color="auto" w:fill="ffffff"/>
        </w:rPr>
        <w:t>,</w:t>
      </w:r>
      <w:r>
        <w:rPr>
          <w:rFonts w:cs="Times New Roman"/>
          <w:b/>
          <w:bCs/>
          <w:color w:val="222222"/>
          <w:sz w:val="28"/>
          <w:szCs w:val="28"/>
          <w:shd w:val="clear" w:color="auto" w:fill="ffffff"/>
        </w:rPr>
        <w:t xml:space="preserve"> IN</w:t>
      </w:r>
      <w:r>
        <w:rPr>
          <w:rFonts w:cs="Times New Roman"/>
          <w:b/>
          <w:bCs/>
          <w:color w:val="222222"/>
          <w:sz w:val="28"/>
          <w:szCs w:val="28"/>
          <w:shd w:val="clear" w:color="auto" w:fill="ffffff"/>
        </w:rPr>
        <w:t xml:space="preserve"> KARABA ZONE,</w:t>
      </w:r>
      <w:r>
        <w:rPr>
          <w:rFonts w:cs="Times New Roman"/>
          <w:b/>
          <w:bCs/>
          <w:color w:val="222222"/>
          <w:sz w:val="28"/>
          <w:szCs w:val="28"/>
          <w:shd w:val="clear" w:color="auto" w:fill="ffffff"/>
        </w:rPr>
        <w:t xml:space="preserve"> MBEERE</w:t>
      </w:r>
      <w:r>
        <w:rPr>
          <w:rFonts w:cs="Times New Roman"/>
          <w:b/>
          <w:bCs/>
          <w:color w:val="222222"/>
          <w:sz w:val="28"/>
          <w:szCs w:val="28"/>
          <w:shd w:val="clear" w:color="auto" w:fill="ffffff"/>
        </w:rPr>
        <w:t xml:space="preserve"> SOUTH</w:t>
      </w:r>
      <w:r>
        <w:rPr>
          <w:rFonts w:cs="Times New Roman"/>
          <w:b/>
          <w:bCs/>
          <w:color w:val="222222"/>
          <w:sz w:val="28"/>
          <w:szCs w:val="28"/>
          <w:shd w:val="clear" w:color="auto" w:fill="ffffff"/>
        </w:rPr>
        <w:t xml:space="preserve"> SUB</w:t>
      </w:r>
      <w:r>
        <w:rPr>
          <w:rFonts w:cs="Times New Roman"/>
          <w:b/>
          <w:bCs/>
          <w:color w:val="222222"/>
          <w:sz w:val="28"/>
          <w:szCs w:val="28"/>
          <w:shd w:val="clear" w:color="auto" w:fill="ffffff"/>
        </w:rPr>
        <w:t>COUNTY, KENYA</w:t>
      </w:r>
    </w:p>
    <w:p>
      <w:pPr>
        <w:pStyle w:val="style0"/>
        <w:jc w:val="center"/>
        <w:rPr>
          <w:rFonts w:cs="Times New Roman"/>
          <w:b/>
          <w:szCs w:val="24"/>
        </w:rPr>
      </w:pPr>
    </w:p>
    <w:p>
      <w:pPr>
        <w:pStyle w:val="style0"/>
        <w:jc w:val="center"/>
        <w:rPr>
          <w:rFonts w:cs="Times New Roman"/>
          <w:b/>
          <w:szCs w:val="24"/>
        </w:rPr>
      </w:pPr>
    </w:p>
    <w:p>
      <w:pPr>
        <w:pStyle w:val="style0"/>
        <w:jc w:val="center"/>
        <w:rPr>
          <w:rFonts w:cs="Times New Roman"/>
          <w:b/>
          <w:szCs w:val="24"/>
        </w:rPr>
      </w:pPr>
    </w:p>
    <w:p>
      <w:pPr>
        <w:pStyle w:val="style0"/>
        <w:jc w:val="center"/>
        <w:rPr>
          <w:rFonts w:cs="Times New Roman"/>
          <w:b/>
          <w:szCs w:val="24"/>
        </w:rPr>
      </w:pPr>
    </w:p>
    <w:p>
      <w:pPr>
        <w:pStyle w:val="style0"/>
        <w:jc w:val="center"/>
        <w:rPr>
          <w:rFonts w:cs="Times New Roman"/>
          <w:b/>
          <w:szCs w:val="24"/>
        </w:rPr>
      </w:pPr>
    </w:p>
    <w:p>
      <w:pPr>
        <w:pStyle w:val="style0"/>
        <w:jc w:val="center"/>
        <w:rPr>
          <w:rFonts w:cs="Times New Roman" w:eastAsia="Times New Roman"/>
          <w:b/>
          <w:color w:val="222222"/>
          <w:szCs w:val="24"/>
        </w:rPr>
      </w:pPr>
      <w:r>
        <w:rPr>
          <w:rFonts w:cs="Times New Roman" w:eastAsia="Times New Roman"/>
          <w:b/>
          <w:color w:val="222222"/>
          <w:szCs w:val="24"/>
        </w:rPr>
        <w:t>PETER N</w:t>
      </w:r>
      <w:r>
        <w:rPr>
          <w:rFonts w:cs="Times New Roman" w:eastAsia="Times New Roman"/>
          <w:b/>
          <w:color w:val="222222"/>
          <w:szCs w:val="24"/>
        </w:rPr>
        <w:t>JUNGE</w:t>
      </w:r>
      <w:r>
        <w:rPr>
          <w:rFonts w:cs="Times New Roman" w:eastAsia="Times New Roman"/>
          <w:b/>
          <w:color w:val="222222"/>
          <w:szCs w:val="24"/>
        </w:rPr>
        <w:t xml:space="preserve"> MWANGI</w:t>
      </w:r>
    </w:p>
    <w:p>
      <w:pPr>
        <w:pStyle w:val="style0"/>
        <w:jc w:val="center"/>
        <w:rPr>
          <w:rFonts w:cs="Times New Roman"/>
          <w:b/>
          <w:szCs w:val="24"/>
        </w:rPr>
      </w:pPr>
    </w:p>
    <w:p>
      <w:pPr>
        <w:pStyle w:val="style0"/>
        <w:jc w:val="center"/>
        <w:rPr>
          <w:rFonts w:cs="Times New Roman"/>
          <w:b/>
          <w:szCs w:val="24"/>
        </w:rPr>
      </w:pPr>
    </w:p>
    <w:p>
      <w:pPr>
        <w:pStyle w:val="style0"/>
        <w:jc w:val="center"/>
        <w:rPr>
          <w:rFonts w:cs="Times New Roman"/>
          <w:b/>
          <w:szCs w:val="24"/>
        </w:rPr>
      </w:pPr>
    </w:p>
    <w:p>
      <w:pPr>
        <w:pStyle w:val="style0"/>
        <w:rPr>
          <w:rFonts w:cs="Times New Roman"/>
          <w:b/>
          <w:szCs w:val="24"/>
        </w:rPr>
      </w:pPr>
    </w:p>
    <w:p>
      <w:pPr>
        <w:pStyle w:val="style0"/>
        <w:jc w:val="center"/>
        <w:rPr>
          <w:rFonts w:cs="Times New Roman"/>
          <w:b/>
          <w:szCs w:val="24"/>
        </w:rPr>
      </w:pPr>
      <w:r>
        <w:rPr>
          <w:rFonts w:cs="Times New Roman"/>
          <w:b/>
          <w:szCs w:val="24"/>
        </w:rPr>
        <w:t xml:space="preserve">A </w:t>
      </w:r>
      <w:r>
        <w:rPr>
          <w:rFonts w:cs="Times New Roman"/>
          <w:b/>
          <w:szCs w:val="24"/>
        </w:rPr>
        <w:t>THESIS</w:t>
      </w:r>
      <w:r>
        <w:rPr>
          <w:rFonts w:cs="Times New Roman"/>
          <w:b/>
          <w:szCs w:val="24"/>
        </w:rPr>
        <w:t xml:space="preserve"> SUBMITTED IN PARTIAL FULFILLMENT </w:t>
      </w:r>
      <w:r>
        <w:rPr>
          <w:rFonts w:cs="Times New Roman"/>
          <w:b/>
          <w:szCs w:val="24"/>
        </w:rPr>
        <w:t xml:space="preserve">OF THE REQUIREMENTS </w:t>
      </w:r>
      <w:r>
        <w:rPr>
          <w:rFonts w:cs="Times New Roman"/>
          <w:b/>
          <w:szCs w:val="24"/>
        </w:rPr>
        <w:t xml:space="preserve">FOR THE </w:t>
      </w:r>
      <w:r>
        <w:rPr>
          <w:rFonts w:cs="Times New Roman"/>
          <w:b/>
          <w:szCs w:val="24"/>
        </w:rPr>
        <w:t xml:space="preserve">AWARD OF THE </w:t>
      </w:r>
      <w:r>
        <w:rPr>
          <w:rFonts w:cs="Times New Roman"/>
          <w:b/>
          <w:szCs w:val="24"/>
        </w:rPr>
        <w:t xml:space="preserve">DEGREE OF MASTER OF EDUCATION IN EDUCATIONAL, ADMINISTRATION AND PLANNING </w:t>
      </w:r>
      <w:r>
        <w:rPr>
          <w:rFonts w:cs="Times New Roman"/>
          <w:b/>
          <w:szCs w:val="24"/>
        </w:rPr>
        <w:t>OF</w:t>
      </w:r>
      <w:r>
        <w:rPr>
          <w:rFonts w:cs="Times New Roman"/>
          <w:b/>
          <w:szCs w:val="24"/>
        </w:rPr>
        <w:t xml:space="preserve"> THE </w:t>
      </w:r>
      <w:r>
        <w:rPr>
          <w:b/>
        </w:rPr>
        <w:t>UNIVERSITY OF EMBU</w:t>
      </w:r>
    </w:p>
    <w:p>
      <w:pPr>
        <w:pStyle w:val="style0"/>
        <w:jc w:val="center"/>
        <w:rPr>
          <w:rFonts w:cs="Times New Roman"/>
          <w:b/>
          <w:szCs w:val="24"/>
        </w:rPr>
      </w:pPr>
    </w:p>
    <w:p>
      <w:pPr>
        <w:pStyle w:val="style0"/>
        <w:jc w:val="center"/>
        <w:rPr>
          <w:rFonts w:cs="Times New Roman"/>
          <w:b/>
          <w:szCs w:val="24"/>
        </w:rPr>
      </w:pPr>
    </w:p>
    <w:p>
      <w:pPr>
        <w:pStyle w:val="style0"/>
        <w:jc w:val="center"/>
        <w:rPr>
          <w:rFonts w:cs="Times New Roman"/>
          <w:b/>
          <w:szCs w:val="24"/>
        </w:rPr>
      </w:pPr>
    </w:p>
    <w:p>
      <w:pPr>
        <w:pStyle w:val="style0"/>
        <w:jc w:val="center"/>
        <w:rPr>
          <w:rFonts w:cs="Times New Roman"/>
          <w:b/>
          <w:szCs w:val="24"/>
        </w:rPr>
      </w:pPr>
    </w:p>
    <w:p>
      <w:pPr>
        <w:pStyle w:val="style0"/>
        <w:jc w:val="center"/>
        <w:rPr>
          <w:rFonts w:cs="Times New Roman"/>
          <w:b/>
          <w:szCs w:val="24"/>
        </w:rPr>
      </w:pPr>
      <w:r>
        <w:rPr>
          <w:rFonts w:cs="Times New Roman"/>
          <w:b/>
          <w:szCs w:val="24"/>
        </w:rPr>
        <w:t>AUGUST</w:t>
      </w:r>
      <w:r>
        <w:rPr>
          <w:rFonts w:cs="Times New Roman"/>
          <w:b/>
          <w:szCs w:val="24"/>
        </w:rPr>
        <w:t>,</w:t>
      </w:r>
      <w:r>
        <w:rPr>
          <w:rFonts w:cs="Times New Roman"/>
          <w:b/>
          <w:szCs w:val="24"/>
        </w:rPr>
        <w:t xml:space="preserve"> 2023</w:t>
      </w:r>
    </w:p>
    <w:p>
      <w:pPr>
        <w:pStyle w:val="style0"/>
        <w:jc w:val="center"/>
        <w:rPr>
          <w:rFonts w:cs="Times New Roman"/>
          <w:b/>
          <w:szCs w:val="24"/>
        </w:rPr>
      </w:pPr>
    </w:p>
    <w:p>
      <w:pPr>
        <w:pStyle w:val="style0"/>
        <w:jc w:val="center"/>
        <w:rPr>
          <w:rFonts w:cs="Times New Roman"/>
          <w:b/>
          <w:szCs w:val="24"/>
        </w:rPr>
      </w:pPr>
    </w:p>
    <w:p>
      <w:pPr>
        <w:pStyle w:val="style0"/>
        <w:jc w:val="center"/>
        <w:rPr>
          <w:rFonts w:cs="Times New Roman"/>
          <w:b/>
          <w:szCs w:val="24"/>
        </w:rPr>
      </w:pPr>
    </w:p>
    <w:bookmarkStart w:id="0" w:name="_Toc472765135"/>
    <w:bookmarkStart w:id="1" w:name="_Toc520134456"/>
    <w:bookmarkStart w:id="2" w:name="_Toc144283160"/>
    <w:p>
      <w:pPr>
        <w:pStyle w:val="style1"/>
        <w:spacing w:lineRule="auto" w:line="480"/>
        <w:rPr/>
      </w:pPr>
      <w:r>
        <w:t>DECLARATION</w:t>
      </w:r>
      <w:bookmarkEnd w:id="0"/>
      <w:bookmarkEnd w:id="1"/>
      <w:bookmarkEnd w:id="2"/>
    </w:p>
    <w:p>
      <w:pPr>
        <w:pStyle w:val="style0"/>
        <w:rPr/>
      </w:pPr>
      <w:r>
        <w:t xml:space="preserve">This </w:t>
      </w:r>
      <w:r>
        <w:t>thesis</w:t>
      </w:r>
      <w:r>
        <w:t xml:space="preserve"> is my original work and has not been presented </w:t>
      </w:r>
      <w:r>
        <w:t xml:space="preserve">elsewhere </w:t>
      </w:r>
      <w:r>
        <w:t>for a degree</w:t>
      </w:r>
      <w:r>
        <w:t xml:space="preserve"> or any other award</w:t>
      </w:r>
      <w:r>
        <w:t xml:space="preserve">. </w:t>
      </w:r>
    </w:p>
    <w:p>
      <w:pPr>
        <w:pStyle w:val="style0"/>
        <w:rPr/>
      </w:pPr>
    </w:p>
    <w:p>
      <w:pPr>
        <w:pStyle w:val="style0"/>
        <w:rPr/>
      </w:pPr>
      <w:r>
        <w:t>Signature…………………………………….</w:t>
      </w:r>
      <w:r>
        <w:tab/>
      </w:r>
      <w:r>
        <w:t>Date……………………………</w:t>
      </w:r>
    </w:p>
    <w:p>
      <w:pPr>
        <w:pStyle w:val="style0"/>
        <w:spacing w:before="0" w:after="0"/>
        <w:jc w:val="left"/>
        <w:rPr/>
      </w:pPr>
      <w:r>
        <w:t xml:space="preserve">Peter </w:t>
      </w:r>
      <w:r>
        <w:t>Njunge</w:t>
      </w:r>
      <w:r>
        <w:t xml:space="preserve"> </w:t>
      </w:r>
      <w:r>
        <w:t>Mwangi</w:t>
      </w:r>
    </w:p>
    <w:p>
      <w:pPr>
        <w:pStyle w:val="style0"/>
        <w:spacing w:before="0" w:after="0"/>
        <w:jc w:val="left"/>
        <w:rPr/>
      </w:pPr>
      <w:r>
        <w:t>Department of Education</w:t>
      </w:r>
    </w:p>
    <w:p>
      <w:pPr>
        <w:pStyle w:val="style0"/>
        <w:spacing w:before="0" w:after="0"/>
        <w:jc w:val="left"/>
        <w:rPr/>
      </w:pPr>
      <w:r>
        <w:t xml:space="preserve"> E551A/1098/</w:t>
      </w:r>
      <w:r>
        <w:t>2021</w:t>
      </w:r>
    </w:p>
    <w:p>
      <w:pPr>
        <w:pStyle w:val="style0"/>
        <w:rPr>
          <w:rFonts w:cs="Times New Roman"/>
          <w:szCs w:val="24"/>
        </w:rPr>
      </w:pPr>
    </w:p>
    <w:p>
      <w:pPr>
        <w:pStyle w:val="style0"/>
        <w:rPr/>
      </w:pPr>
      <w:r>
        <w:t xml:space="preserve">This research </w:t>
      </w:r>
      <w:r>
        <w:t>thesis</w:t>
      </w:r>
      <w:r>
        <w:t xml:space="preserve"> has been submitted for examination with our approval as university</w:t>
      </w:r>
      <w:r>
        <w:t xml:space="preserve"> </w:t>
      </w:r>
      <w:r>
        <w:t>supervisors</w:t>
      </w:r>
    </w:p>
    <w:p>
      <w:pPr>
        <w:pStyle w:val="style0"/>
        <w:rPr/>
      </w:pPr>
      <w:r>
        <w:t>Signature…………………………………….</w:t>
      </w:r>
      <w:r>
        <w:tab/>
      </w:r>
      <w:r>
        <w:t>Date……………………………</w:t>
      </w:r>
    </w:p>
    <w:p>
      <w:pPr>
        <w:pStyle w:val="style0"/>
        <w:autoSpaceDE w:val="false"/>
        <w:autoSpaceDN w:val="false"/>
        <w:adjustRightInd w:val="false"/>
        <w:jc w:val="left"/>
        <w:rPr/>
      </w:pPr>
      <w:r>
        <w:t xml:space="preserve">Dr. </w:t>
      </w:r>
      <w:r>
        <w:t>Ciriaka</w:t>
      </w:r>
      <w:r>
        <w:t xml:space="preserve"> Muriithi Gitonga</w:t>
      </w:r>
    </w:p>
    <w:p>
      <w:pPr>
        <w:pStyle w:val="style0"/>
        <w:tabs>
          <w:tab w:val="left" w:leader="none" w:pos="72"/>
        </w:tabs>
        <w:suppressAutoHyphens/>
        <w:jc w:val="left"/>
        <w:rPr>
          <w:rFonts w:cs="Times New Roman"/>
          <w:bCs/>
          <w:szCs w:val="24"/>
        </w:rPr>
      </w:pPr>
      <w:r>
        <w:rPr>
          <w:rFonts w:cs="Times New Roman"/>
          <w:bCs/>
          <w:szCs w:val="24"/>
        </w:rPr>
        <w:t>Department of Education</w:t>
      </w:r>
    </w:p>
    <w:p>
      <w:pPr>
        <w:pStyle w:val="style0"/>
        <w:autoSpaceDE w:val="false"/>
        <w:autoSpaceDN w:val="false"/>
        <w:adjustRightInd w:val="false"/>
        <w:jc w:val="left"/>
        <w:rPr>
          <w:rFonts w:cs="Times New Roman"/>
          <w:szCs w:val="24"/>
        </w:rPr>
      </w:pPr>
      <w:r>
        <w:rPr>
          <w:rFonts w:cs="Times New Roman"/>
          <w:szCs w:val="24"/>
        </w:rPr>
        <w:t xml:space="preserve">University </w:t>
      </w:r>
      <w:r>
        <w:rPr>
          <w:rFonts w:cs="Times New Roman"/>
          <w:szCs w:val="24"/>
        </w:rPr>
        <w:t>of Embu</w:t>
      </w:r>
    </w:p>
    <w:p>
      <w:pPr>
        <w:pStyle w:val="style0"/>
        <w:autoSpaceDE w:val="false"/>
        <w:autoSpaceDN w:val="false"/>
        <w:adjustRightInd w:val="false"/>
        <w:jc w:val="left"/>
        <w:rPr>
          <w:rFonts w:cs="Times New Roman"/>
          <w:szCs w:val="24"/>
        </w:rPr>
      </w:pPr>
    </w:p>
    <w:p>
      <w:pPr>
        <w:pStyle w:val="style0"/>
        <w:rPr/>
      </w:pPr>
      <w:r>
        <w:t>Signature…………………………………….</w:t>
      </w:r>
      <w:r>
        <w:tab/>
      </w:r>
      <w:r>
        <w:t>Date……………………………</w:t>
      </w:r>
    </w:p>
    <w:p>
      <w:pPr>
        <w:pStyle w:val="style0"/>
        <w:autoSpaceDE w:val="false"/>
        <w:autoSpaceDN w:val="false"/>
        <w:adjustRightInd w:val="false"/>
        <w:jc w:val="left"/>
        <w:rPr>
          <w:rFonts w:cs="Times New Roman"/>
          <w:szCs w:val="24"/>
        </w:rPr>
      </w:pPr>
      <w:r>
        <w:rPr>
          <w:rFonts w:cs="Times New Roman"/>
          <w:szCs w:val="24"/>
        </w:rPr>
        <w:t>Dr</w:t>
      </w:r>
      <w:r>
        <w:rPr>
          <w:rFonts w:cs="Times New Roman"/>
          <w:szCs w:val="24"/>
        </w:rPr>
        <w:t xml:space="preserve">. </w:t>
      </w:r>
      <w:r>
        <w:rPr>
          <w:rFonts w:cs="Times New Roman"/>
          <w:szCs w:val="24"/>
        </w:rPr>
        <w:t xml:space="preserve">Samuel </w:t>
      </w:r>
      <w:r>
        <w:rPr>
          <w:rFonts w:cs="Times New Roman"/>
          <w:szCs w:val="24"/>
        </w:rPr>
        <w:t xml:space="preserve">Nduati </w:t>
      </w:r>
      <w:r>
        <w:rPr>
          <w:rFonts w:cs="Times New Roman"/>
          <w:szCs w:val="24"/>
        </w:rPr>
        <w:t>Kariuki</w:t>
      </w:r>
    </w:p>
    <w:p>
      <w:pPr>
        <w:pStyle w:val="style0"/>
        <w:tabs>
          <w:tab w:val="left" w:leader="none" w:pos="72"/>
        </w:tabs>
        <w:suppressAutoHyphens/>
        <w:jc w:val="left"/>
        <w:rPr>
          <w:rFonts w:cs="Times New Roman"/>
          <w:bCs/>
          <w:szCs w:val="24"/>
        </w:rPr>
      </w:pPr>
      <w:r>
        <w:rPr>
          <w:rFonts w:cs="Times New Roman"/>
          <w:bCs/>
          <w:szCs w:val="24"/>
        </w:rPr>
        <w:t>Department</w:t>
      </w:r>
      <w:r>
        <w:rPr>
          <w:rFonts w:cs="Times New Roman"/>
          <w:bCs/>
          <w:szCs w:val="24"/>
        </w:rPr>
        <w:t xml:space="preserve"> of Business </w:t>
      </w:r>
      <w:r>
        <w:rPr>
          <w:rFonts w:cs="Times New Roman"/>
          <w:bCs/>
          <w:szCs w:val="24"/>
        </w:rPr>
        <w:t xml:space="preserve">Studies </w:t>
      </w:r>
      <w:r>
        <w:rPr>
          <w:rFonts w:cs="Times New Roman"/>
          <w:bCs/>
          <w:szCs w:val="24"/>
        </w:rPr>
        <w:t xml:space="preserve"> </w:t>
      </w:r>
    </w:p>
    <w:p>
      <w:pPr>
        <w:pStyle w:val="style0"/>
        <w:autoSpaceDE w:val="false"/>
        <w:autoSpaceDN w:val="false"/>
        <w:adjustRightInd w:val="false"/>
        <w:jc w:val="left"/>
        <w:rPr>
          <w:rFonts w:cs="Times New Roman"/>
          <w:szCs w:val="24"/>
        </w:rPr>
      </w:pPr>
      <w:r>
        <w:rPr>
          <w:rFonts w:cs="Times New Roman"/>
          <w:szCs w:val="24"/>
        </w:rPr>
        <w:t>University of Embu</w:t>
      </w: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bookmarkStart w:id="3" w:name="_Toc144283161"/>
    <w:p>
      <w:pPr>
        <w:pStyle w:val="style1"/>
        <w:rPr>
          <w:lang w:val="en-GB"/>
        </w:rPr>
      </w:pPr>
      <w:r>
        <w:rPr>
          <w:lang w:val="en-GB"/>
        </w:rPr>
        <w:t>COPYRIGHT</w:t>
      </w:r>
      <w:bookmarkEnd w:id="3"/>
    </w:p>
    <w:p>
      <w:pPr>
        <w:pStyle w:val="style0"/>
        <w:rPr>
          <w:rFonts w:cs="Times New Roman"/>
          <w:szCs w:val="24"/>
        </w:rPr>
      </w:pPr>
      <w:r>
        <w:rPr>
          <w:rFonts w:cs="Times New Roman"/>
          <w:szCs w:val="24"/>
        </w:rPr>
        <w:t xml:space="preserve">All right reserved. No part of this </w:t>
      </w:r>
      <w:r>
        <w:rPr>
          <w:rFonts w:cs="Times New Roman"/>
          <w:szCs w:val="24"/>
        </w:rPr>
        <w:t>thesis</w:t>
      </w:r>
      <w:r>
        <w:rPr>
          <w:rFonts w:cs="Times New Roman"/>
          <w:szCs w:val="24"/>
        </w:rPr>
        <w:t xml:space="preserve"> report may be photocopied, recorded or otherwise reproduced, stored in retrieval system or transmitted in any electronic or mechanical means without prior permission of </w:t>
      </w:r>
      <w:r>
        <w:rPr>
          <w:rFonts w:cs="Times New Roman"/>
          <w:szCs w:val="24"/>
        </w:rPr>
        <w:t>University of Embu</w:t>
      </w:r>
      <w:r>
        <w:rPr>
          <w:rFonts w:cs="Times New Roman"/>
          <w:szCs w:val="24"/>
        </w:rPr>
        <w:t xml:space="preserve"> </w:t>
      </w:r>
      <w:r>
        <w:rPr>
          <w:rFonts w:cs="Times New Roman"/>
          <w:szCs w:val="24"/>
        </w:rPr>
        <w:t>or the author.</w:t>
      </w:r>
    </w:p>
    <w:p>
      <w:pPr>
        <w:pStyle w:val="style0"/>
        <w:rPr>
          <w:rFonts w:cs="Times New Roman"/>
          <w:szCs w:val="24"/>
        </w:rPr>
      </w:pPr>
      <w:r>
        <w:rPr>
          <w:rFonts w:cs="Times New Roman"/>
          <w:szCs w:val="24"/>
        </w:rPr>
        <w:t xml:space="preserve">Peter </w:t>
      </w:r>
      <w:r>
        <w:rPr>
          <w:rFonts w:cs="Times New Roman"/>
          <w:szCs w:val="24"/>
        </w:rPr>
        <w:t>Njunge</w:t>
      </w:r>
      <w:r>
        <w:rPr>
          <w:rFonts w:cs="Times New Roman"/>
          <w:szCs w:val="24"/>
        </w:rPr>
        <w:t xml:space="preserve"> Mwangi</w:t>
      </w:r>
      <w:r>
        <w:rPr>
          <w:rFonts w:cs="Times New Roman"/>
          <w:szCs w:val="24"/>
        </w:rPr>
        <w:t>@2023</w:t>
      </w: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p>
      <w:pPr>
        <w:pStyle w:val="style0"/>
        <w:autoSpaceDE w:val="false"/>
        <w:autoSpaceDN w:val="false"/>
        <w:adjustRightInd w:val="false"/>
        <w:jc w:val="left"/>
        <w:rPr>
          <w:rFonts w:cs="Times New Roman"/>
          <w:szCs w:val="24"/>
        </w:rPr>
      </w:pPr>
    </w:p>
    <w:bookmarkStart w:id="4" w:name="_Toc144283162"/>
    <w:p>
      <w:pPr>
        <w:pStyle w:val="style1"/>
        <w:rPr>
          <w:lang w:val="en-GB"/>
        </w:rPr>
      </w:pPr>
      <w:r>
        <w:rPr>
          <w:lang w:val="en-GB"/>
        </w:rPr>
        <w:t>ACKNOWLEDGEMENT</w:t>
      </w:r>
      <w:bookmarkEnd w:id="4"/>
    </w:p>
    <w:p>
      <w:pPr>
        <w:pStyle w:val="style0"/>
        <w:rPr>
          <w:lang w:val="en-GB"/>
        </w:rPr>
      </w:pPr>
      <w:r>
        <w:t xml:space="preserve">I would like to extend my sincere gratitude and appreciation to my esteemed supervisors, </w:t>
      </w:r>
      <w:r>
        <w:t xml:space="preserve">Dr. </w:t>
      </w:r>
      <w:r>
        <w:t>Ciriaka</w:t>
      </w:r>
      <w:r>
        <w:t xml:space="preserve"> Muriithi Gitonga</w:t>
      </w:r>
      <w:r>
        <w:t xml:space="preserve"> and </w:t>
      </w:r>
      <w:r>
        <w:t>Dr. Samuel Kariuki</w:t>
      </w:r>
      <w:r>
        <w:t xml:space="preserve">. </w:t>
      </w:r>
      <w:r>
        <w:t xml:space="preserve">Their academic insight, mentorship, patience, encouragement, and professional support have been invaluable throughout my research journey and the writing of this </w:t>
      </w:r>
      <w:r>
        <w:t>thesis</w:t>
      </w:r>
      <w:r>
        <w:t xml:space="preserve">. I am deeply indebted to the faculty members and staff at </w:t>
      </w:r>
      <w:r>
        <w:t>University of Embu</w:t>
      </w:r>
      <w:r>
        <w:t xml:space="preserve"> </w:t>
      </w:r>
      <w:r>
        <w:t xml:space="preserve">for their assistance in the development of my </w:t>
      </w:r>
      <w:r>
        <w:t xml:space="preserve">thesis </w:t>
      </w:r>
      <w:r>
        <w:t>and their continuous support throughout</w:t>
      </w:r>
      <w:r>
        <w:t xml:space="preserve">. </w:t>
      </w:r>
      <w:r>
        <w:t xml:space="preserve">Their guidance and expertise have been instrumental in shaping the outcome of this research. A heartfelt thank you goes to the research respondents and participating institutions who generously shared their time and experiences. Without their valuable contributions, this </w:t>
      </w:r>
      <w:r>
        <w:t xml:space="preserve">thesis </w:t>
      </w:r>
      <w:r>
        <w:t>would</w:t>
      </w:r>
      <w:r>
        <w:t xml:space="preserve"> not have been possible. I would also like to express my special gratitude to my family, colleagues, classmates, and friends for the unwavering support they have provided me during the writing process of this dissertation. Their encouragement and assistance have been crucial in overcoming challenges and achieving milestones.</w:t>
      </w: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rPr>
          <w:lang w:val="en-GB"/>
        </w:rPr>
      </w:pPr>
    </w:p>
    <w:p>
      <w:pPr>
        <w:pStyle w:val="style0"/>
        <w:spacing w:lineRule="auto" w:line="240"/>
        <w:rPr/>
      </w:pPr>
    </w:p>
    <w:p>
      <w:pPr>
        <w:pStyle w:val="style0"/>
        <w:jc w:val="center"/>
        <w:rPr>
          <w:b/>
        </w:rPr>
      </w:pPr>
      <w:r>
        <w:rPr>
          <w:b/>
        </w:rPr>
        <w:t>TABLE OF CONTENT</w:t>
      </w:r>
      <w:r>
        <w:rPr>
          <w:b/>
        </w:rPr>
        <w:t>S</w:t>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rFonts w:cs="Times New Roman"/>
          <w:bCs/>
          <w:iCs/>
          <w:szCs w:val="24"/>
        </w:rPr>
        <w:fldChar w:fldCharType="begin"/>
      </w:r>
      <w:r>
        <w:rPr>
          <w:rFonts w:cs="Times New Roman"/>
          <w:bCs/>
          <w:iCs/>
          <w:szCs w:val="24"/>
        </w:rPr>
        <w:instrText xml:space="preserve"> TOC \o "1-2" \h \z \u </w:instrText>
      </w:r>
      <w:r>
        <w:rPr>
          <w:rFonts w:cs="Times New Roman"/>
          <w:bCs/>
          <w:iCs/>
          <w:szCs w:val="24"/>
        </w:rPr>
        <w:fldChar w:fldCharType="separate"/>
      </w:r>
      <w:r>
        <w:rPr/>
        <w:fldChar w:fldCharType="begin"/>
      </w:r>
      <w:r>
        <w:instrText xml:space="preserve"> HYPERLINK \l "_Toc144283160" </w:instrText>
      </w:r>
      <w:r>
        <w:rPr/>
        <w:fldChar w:fldCharType="separate"/>
      </w:r>
      <w:r>
        <w:rPr>
          <w:rStyle w:val="style85"/>
          <w:noProof/>
        </w:rPr>
        <w:t>DECLARATION</w:t>
      </w:r>
      <w:r>
        <w:rPr>
          <w:noProof/>
          <w:webHidden/>
        </w:rPr>
        <w:tab/>
      </w:r>
      <w:r>
        <w:rPr>
          <w:noProof/>
          <w:webHidden/>
        </w:rPr>
        <w:fldChar w:fldCharType="begin"/>
      </w:r>
      <w:r>
        <w:rPr>
          <w:noProof/>
          <w:webHidden/>
        </w:rPr>
        <w:instrText xml:space="preserve"> PAGEREF _Toc144283160 \h </w:instrText>
      </w:r>
      <w:r>
        <w:rPr>
          <w:noProof/>
          <w:webHidden/>
        </w:rPr>
        <w:fldChar w:fldCharType="separate"/>
      </w:r>
      <w:r>
        <w:rPr>
          <w:noProof/>
          <w:webHidden/>
        </w:rPr>
        <w:t>ii</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"_Toc144283161" </w:instrText>
      </w:r>
      <w:r>
        <w:rPr/>
        <w:fldChar w:fldCharType="separate"/>
      </w:r>
      <w:r>
        <w:rPr>
          <w:rStyle w:val="style85"/>
          <w:noProof/>
          <w:lang w:val="en-GB"/>
        </w:rPr>
        <w:t>COPYRIGHT</w:t>
      </w:r>
      <w:r>
        <w:rPr>
          <w:noProof/>
          <w:webHidden/>
        </w:rPr>
        <w:tab/>
      </w:r>
      <w:r>
        <w:rPr>
          <w:noProof/>
          <w:webHidden/>
        </w:rPr>
        <w:fldChar w:fldCharType="begin"/>
      </w:r>
      <w:r>
        <w:rPr>
          <w:noProof/>
          <w:webHidden/>
        </w:rPr>
        <w:instrText xml:space="preserve"> PAGEREF _Toc144283161 \h </w:instrText>
      </w:r>
      <w:r>
        <w:rPr>
          <w:noProof/>
          <w:webHidden/>
        </w:rPr>
        <w:fldChar w:fldCharType="separate"/>
      </w:r>
      <w:r>
        <w:rPr>
          <w:noProof/>
          <w:webHidden/>
        </w:rPr>
        <w:t>iii</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"_Toc144283162" </w:instrText>
      </w:r>
      <w:r>
        <w:rPr/>
        <w:fldChar w:fldCharType="separate"/>
      </w:r>
      <w:r>
        <w:rPr>
          <w:rStyle w:val="style85"/>
          <w:noProof/>
          <w:lang w:val="en-GB"/>
        </w:rPr>
        <w:t>ACKNOWLEDGEMENT</w:t>
      </w:r>
      <w:r>
        <w:rPr>
          <w:noProof/>
          <w:webHidden/>
        </w:rPr>
        <w:tab/>
      </w:r>
      <w:r>
        <w:rPr>
          <w:noProof/>
          <w:webHidden/>
        </w:rPr>
        <w:fldChar w:fldCharType="begin"/>
      </w:r>
      <w:r>
        <w:rPr>
          <w:noProof/>
          <w:webHidden/>
        </w:rPr>
        <w:instrText xml:space="preserve"> PAGEREF _Toc144283162 \h </w:instrText>
      </w:r>
      <w:r>
        <w:rPr>
          <w:noProof/>
          <w:webHidden/>
        </w:rPr>
        <w:fldChar w:fldCharType="separate"/>
      </w:r>
      <w:r>
        <w:rPr>
          <w:noProof/>
          <w:webHidden/>
        </w:rPr>
        <w:t>iv</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"_Toc144283163" </w:instrText>
      </w:r>
      <w:r>
        <w:rPr/>
        <w:fldChar w:fldCharType="separate"/>
      </w:r>
      <w:r>
        <w:rPr>
          <w:rStyle w:val="style85"/>
          <w:rFonts w:cs="Times New Roman"/>
          <w:noProof/>
        </w:rPr>
        <w:t>LIST OF TABLES</w:t>
      </w:r>
      <w:r>
        <w:rPr>
          <w:noProof/>
          <w:webHidden/>
        </w:rPr>
        <w:tab/>
      </w:r>
      <w:r>
        <w:rPr>
          <w:noProof/>
          <w:webHidden/>
        </w:rPr>
        <w:fldChar w:fldCharType="begin"/>
      </w:r>
      <w:r>
        <w:rPr>
          <w:noProof/>
          <w:webHidden/>
        </w:rPr>
        <w:instrText xml:space="preserve"> PAGEREF _Toc144283163 \h </w:instrText>
      </w:r>
      <w:r>
        <w:rPr>
          <w:noProof/>
          <w:webHidden/>
        </w:rPr>
        <w:fldChar w:fldCharType="separate"/>
      </w:r>
      <w:r>
        <w:rPr>
          <w:noProof/>
          <w:webHidden/>
        </w:rPr>
        <w:t>viii</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"_Toc144283164" </w:instrText>
      </w:r>
      <w:r>
        <w:rPr/>
        <w:fldChar w:fldCharType="separate"/>
      </w:r>
      <w:r>
        <w:rPr>
          <w:rStyle w:val="style85"/>
          <w:rFonts w:cs="Times New Roman"/>
          <w:noProof/>
        </w:rPr>
        <w:t>LIST OF FIGURES</w:t>
      </w:r>
      <w:r>
        <w:rPr>
          <w:noProof/>
          <w:webHidden/>
        </w:rPr>
        <w:tab/>
      </w:r>
      <w:r>
        <w:rPr>
          <w:noProof/>
          <w:webHidden/>
        </w:rPr>
        <w:fldChar w:fldCharType="begin"/>
      </w:r>
      <w:r>
        <w:rPr>
          <w:noProof/>
          <w:webHidden/>
        </w:rPr>
        <w:instrText xml:space="preserve"> PAGEREF _Toc144283164 \h </w:instrText>
      </w:r>
      <w:r>
        <w:rPr>
          <w:noProof/>
          <w:webHidden/>
        </w:rPr>
        <w:fldChar w:fldCharType="separate"/>
      </w:r>
      <w:r>
        <w:rPr>
          <w:noProof/>
          <w:webHidden/>
        </w:rPr>
        <w:t>ix</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"_Toc144283165" </w:instrText>
      </w:r>
      <w:r>
        <w:rPr/>
        <w:fldChar w:fldCharType="separate"/>
      </w:r>
      <w:r>
        <w:rPr>
          <w:rStyle w:val="style85"/>
          <w:noProof/>
        </w:rPr>
        <w:t>LIST OF APPENDICES</w:t>
      </w:r>
      <w:r>
        <w:rPr>
          <w:noProof/>
          <w:webHidden/>
        </w:rPr>
        <w:tab/>
      </w:r>
      <w:r>
        <w:rPr>
          <w:noProof/>
          <w:webHidden/>
        </w:rPr>
        <w:fldChar w:fldCharType="begin"/>
      </w:r>
      <w:r>
        <w:rPr>
          <w:noProof/>
          <w:webHidden/>
        </w:rPr>
        <w:instrText xml:space="preserve"> PAGEREF _Toc144283165 \h </w:instrText>
      </w:r>
      <w:r>
        <w:rPr>
          <w:noProof/>
          <w:webHidden/>
        </w:rPr>
        <w:fldChar w:fldCharType="separate"/>
      </w:r>
      <w:r>
        <w:rPr>
          <w:noProof/>
          <w:webHidden/>
        </w:rPr>
        <w:t>x</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"_Toc144283166" </w:instrText>
      </w:r>
      <w:r>
        <w:rPr/>
        <w:fldChar w:fldCharType="separate"/>
      </w:r>
      <w:r>
        <w:rPr>
          <w:rStyle w:val="style85"/>
          <w:noProof/>
        </w:rPr>
        <w:t>ABBREVIATIONS AND ACRONYMS</w:t>
      </w:r>
      <w:r>
        <w:rPr>
          <w:noProof/>
          <w:webHidden/>
        </w:rPr>
        <w:tab/>
      </w:r>
      <w:r>
        <w:rPr>
          <w:noProof/>
          <w:webHidden/>
        </w:rPr>
        <w:fldChar w:fldCharType="begin"/>
      </w:r>
      <w:r>
        <w:rPr>
          <w:noProof/>
          <w:webHidden/>
        </w:rPr>
        <w:instrText xml:space="preserve"> PAGEREF _Toc144283166 \h </w:instrText>
      </w:r>
      <w:r>
        <w:rPr>
          <w:noProof/>
          <w:webHidden/>
        </w:rPr>
        <w:fldChar w:fldCharType="separate"/>
      </w:r>
      <w:r>
        <w:rPr>
          <w:noProof/>
          <w:webHidden/>
        </w:rPr>
        <w:t>xi</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"_Toc144283167" </w:instrText>
      </w:r>
      <w:r>
        <w:rPr/>
        <w:fldChar w:fldCharType="separate"/>
      </w:r>
      <w:r>
        <w:rPr>
          <w:rStyle w:val="style85"/>
          <w:noProof/>
        </w:rPr>
        <w:t>DEFINITION OF TERMS</w:t>
      </w:r>
      <w:r>
        <w:rPr>
          <w:noProof/>
          <w:webHidden/>
        </w:rPr>
        <w:tab/>
      </w:r>
      <w:r>
        <w:rPr>
          <w:noProof/>
          <w:webHidden/>
        </w:rPr>
        <w:fldChar w:fldCharType="begin"/>
      </w:r>
      <w:r>
        <w:rPr>
          <w:noProof/>
          <w:webHidden/>
        </w:rPr>
        <w:instrText xml:space="preserve"> PAGEREF _Toc144283167 \h </w:instrText>
      </w:r>
      <w:r>
        <w:rPr>
          <w:noProof/>
          <w:webHidden/>
        </w:rPr>
        <w:fldChar w:fldCharType="separate"/>
      </w:r>
      <w:r>
        <w:rPr>
          <w:noProof/>
          <w:webHidden/>
        </w:rPr>
        <w:t>xii</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"_Toc144283168" </w:instrText>
      </w:r>
      <w:r>
        <w:rPr/>
        <w:fldChar w:fldCharType="separate"/>
      </w:r>
      <w:r>
        <w:rPr>
          <w:rStyle w:val="style85"/>
          <w:noProof/>
        </w:rPr>
        <w:t>ABSTRACT</w:t>
      </w:r>
      <w:r>
        <w:rPr>
          <w:noProof/>
          <w:webHidden/>
        </w:rPr>
        <w:tab/>
      </w:r>
      <w:r>
        <w:rPr>
          <w:noProof/>
          <w:webHidden/>
        </w:rPr>
        <w:fldChar w:fldCharType="begin"/>
      </w:r>
      <w:r>
        <w:rPr>
          <w:noProof/>
          <w:webHidden/>
        </w:rPr>
        <w:instrText xml:space="preserve"> PAGEREF _Toc144283168 \h </w:instrText>
      </w:r>
      <w:r>
        <w:rPr>
          <w:noProof/>
          <w:webHidden/>
        </w:rPr>
        <w:fldChar w:fldCharType="separate"/>
      </w:r>
      <w:r>
        <w:rPr>
          <w:noProof/>
          <w:webHidden/>
        </w:rPr>
        <w:t>xiii</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"_Toc144283169" </w:instrText>
      </w:r>
      <w:r>
        <w:rPr/>
        <w:fldChar w:fldCharType="separate"/>
      </w:r>
      <w:r>
        <w:rPr>
          <w:rStyle w:val="style85"/>
          <w:noProof/>
        </w:rPr>
        <w:t>CHAPTER ONE</w:t>
      </w:r>
      <w:r>
        <w:rPr>
          <w:noProof/>
          <w:webHidden/>
        </w:rPr>
        <w:tab/>
      </w:r>
      <w:r>
        <w:rPr>
          <w:noProof/>
          <w:webHidden/>
        </w:rPr>
        <w:fldChar w:fldCharType="begin"/>
      </w:r>
      <w:r>
        <w:rPr>
          <w:noProof/>
          <w:webHidden/>
        </w:rPr>
        <w:instrText xml:space="preserve"> PAGEREF _Toc144283169 \h </w:instrText>
      </w:r>
      <w:r>
        <w:rPr>
          <w:noProof/>
          <w:webHidden/>
        </w:rPr>
        <w:fldChar w:fldCharType="separate"/>
      </w:r>
      <w:r>
        <w:rPr>
          <w:noProof/>
          <w:webHidden/>
        </w:rPr>
        <w:t>1</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"_Toc144283170" </w:instrText>
      </w:r>
      <w:r>
        <w:rPr/>
        <w:fldChar w:fldCharType="separate"/>
      </w:r>
      <w:r>
        <w:rPr>
          <w:rStyle w:val="style85"/>
          <w:noProof/>
        </w:rPr>
        <w:t>INTRODUCTION</w:t>
      </w:r>
      <w:r>
        <w:rPr>
          <w:noProof/>
          <w:webHidden/>
        </w:rPr>
        <w:tab/>
      </w:r>
      <w:r>
        <w:rPr>
          <w:noProof/>
          <w:webHidden/>
        </w:rPr>
        <w:fldChar w:fldCharType="begin"/>
      </w:r>
      <w:r>
        <w:rPr>
          <w:noProof/>
          <w:webHidden/>
        </w:rPr>
        <w:instrText xml:space="preserve"> PAGEREF _Toc144283170 \h </w:instrText>
      </w:r>
      <w:r>
        <w:rPr>
          <w:noProof/>
          <w:webHidden/>
        </w:rPr>
        <w:fldChar w:fldCharType="separate"/>
      </w:r>
      <w:r>
        <w:rPr>
          <w:noProof/>
          <w:webHidden/>
        </w:rPr>
        <w:t>1</w:t>
      </w:r>
      <w:r>
        <w:rPr>
          <w:noProof/>
          <w:webHidden/>
        </w:rPr>
        <w:fldChar w:fldCharType="end"/>
      </w:r>
      <w:r>
        <w:rPr/>
        <w:fldChar w:fldCharType="end"/>
      </w:r>
    </w:p>
    <w:p>
      <w:pPr>
        <w:pStyle w:val="style20"/>
        <w:tabs>
          <w:tab w:val="left" w:leader="none" w:pos="1320"/>
        </w:tabs>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"_Toc144283171" </w:instrText>
      </w:r>
      <w:r>
        <w:rPr/>
        <w:fldChar w:fldCharType="separate"/>
      </w:r>
      <w:r>
        <w:rPr>
          <w:rStyle w:val="style85"/>
          <w:noProof/>
        </w:rPr>
        <w:t>1.1</w:t>
      </w:r>
      <w:r>
        <w:rPr>
          <w:rStyle w:val="style85"/>
          <w:noProof/>
        </w:rPr>
        <w:t xml:space="preserve"> </w:t>
      </w:r>
      <w:r>
        <w:rPr>
          <w:rStyle w:val="style85"/>
          <w:noProof/>
        </w:rPr>
        <w:t>Background to the study</w:t>
      </w:r>
      <w:r>
        <w:rPr>
          <w:noProof/>
          <w:webHidden/>
        </w:rPr>
        <w:tab/>
      </w:r>
      <w:r>
        <w:rPr>
          <w:noProof/>
          <w:webHidden/>
        </w:rPr>
        <w:fldChar w:fldCharType="begin"/>
      </w:r>
      <w:r>
        <w:rPr>
          <w:noProof/>
          <w:webHidden/>
        </w:rPr>
        <w:instrText xml:space="preserve"> PAGEREF _Toc144283171 \h </w:instrText>
      </w:r>
      <w:r>
        <w:rPr>
          <w:noProof/>
          <w:webHidden/>
        </w:rPr>
        <w:fldChar w:fldCharType="separate"/>
      </w:r>
      <w:r>
        <w:rPr>
          <w:noProof/>
          <w:webHidden/>
        </w:rPr>
        <w:t>1</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"_Toc144283172" </w:instrText>
      </w:r>
      <w:r>
        <w:rPr/>
        <w:fldChar w:fldCharType="separate"/>
      </w:r>
      <w:r>
        <w:rPr>
          <w:rStyle w:val="style85"/>
          <w:noProof/>
        </w:rPr>
        <w:t>1.2 Statement of the problem</w:t>
      </w:r>
      <w:r>
        <w:rPr>
          <w:noProof/>
          <w:webHidden/>
        </w:rPr>
        <w:tab/>
      </w:r>
      <w:r>
        <w:rPr>
          <w:noProof/>
          <w:webHidden/>
        </w:rPr>
        <w:fldChar w:fldCharType="begin"/>
      </w:r>
      <w:r>
        <w:rPr>
          <w:noProof/>
          <w:webHidden/>
        </w:rPr>
        <w:instrText xml:space="preserve"> PAGEREF _Toc144283172 \h </w:instrText>
      </w:r>
      <w:r>
        <w:rPr>
          <w:noProof/>
          <w:webHidden/>
        </w:rPr>
        <w:fldChar w:fldCharType="separate"/>
      </w:r>
      <w:r>
        <w:rPr>
          <w:noProof/>
          <w:webHidden/>
        </w:rPr>
        <w:t>6</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"_Toc144283173" </w:instrText>
      </w:r>
      <w:r>
        <w:rPr/>
        <w:fldChar w:fldCharType="separate"/>
      </w:r>
      <w:r>
        <w:rPr>
          <w:rStyle w:val="style85"/>
          <w:noProof/>
        </w:rPr>
        <w:t>1.3 Research objectives</w:t>
      </w:r>
      <w:r>
        <w:rPr>
          <w:noProof/>
          <w:webHidden/>
        </w:rPr>
        <w:tab/>
      </w:r>
      <w:r>
        <w:rPr>
          <w:noProof/>
          <w:webHidden/>
        </w:rPr>
        <w:fldChar w:fldCharType="begin"/>
      </w:r>
      <w:r>
        <w:rPr>
          <w:noProof/>
          <w:webHidden/>
        </w:rPr>
        <w:instrText xml:space="preserve"> PAGEREF _Toc144283173 \h </w:instrText>
      </w:r>
      <w:r>
        <w:rPr>
          <w:noProof/>
          <w:webHidden/>
        </w:rPr>
        <w:fldChar w:fldCharType="separate"/>
      </w:r>
      <w:r>
        <w:rPr>
          <w:noProof/>
          <w:webHidden/>
        </w:rPr>
        <w:t>7</w:t>
      </w:r>
      <w:r>
        <w:rPr>
          <w:noProof/>
          <w:webHidden/>
        </w:rPr>
        <w:fldChar w:fldCharType="end"/>
      </w:r>
      <w:r>
        <w:rPr/>
        <w:fldChar w:fldCharType="end"/>
      </w:r>
    </w:p>
    <w:p>
      <w:pPr>
        <w:pStyle w:val="style20"/>
        <w:tabs>
          <w:tab w:val="left" w:leader="none" w:pos="1320"/>
        </w:tabs>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"_Toc144283174" </w:instrText>
      </w:r>
      <w:r>
        <w:rPr/>
        <w:fldChar w:fldCharType="separate"/>
      </w:r>
      <w:r>
        <w:rPr>
          <w:rStyle w:val="style85"/>
          <w:noProof/>
        </w:rPr>
        <w:t>1.4</w:t>
      </w:r>
      <w:r>
        <w:rPr>
          <w:rFonts w:ascii="Calibri" w:eastAsia="宋体" w:hAnsi="Calibri"/>
          <w:noProof/>
          <w:kern w:val="2"/>
          <w:sz w:val="22"/>
          <w14:ligatures xmlns:w14="http://schemas.microsoft.com/office/word/2010/wordml" w14:val="standardContextual"/>
        </w:rPr>
        <w:t xml:space="preserve"> </w:t>
      </w:r>
      <w:r>
        <w:rPr>
          <w:rStyle w:val="style85"/>
          <w:noProof/>
        </w:rPr>
        <w:t>Research hypotheses</w:t>
      </w:r>
      <w:r>
        <w:rPr>
          <w:noProof/>
          <w:webHidden/>
        </w:rPr>
        <w:tab/>
      </w:r>
      <w:r>
        <w:rPr>
          <w:noProof/>
          <w:webHidden/>
        </w:rPr>
        <w:fldChar w:fldCharType="begin"/>
      </w:r>
      <w:r>
        <w:rPr>
          <w:noProof/>
          <w:webHidden/>
        </w:rPr>
        <w:instrText xml:space="preserve"> PAGEREF _Toc144283174 \h </w:instrText>
      </w:r>
      <w:r>
        <w:rPr>
          <w:noProof/>
          <w:webHidden/>
        </w:rPr>
        <w:fldChar w:fldCharType="separate"/>
      </w:r>
      <w:r>
        <w:rPr>
          <w:noProof/>
          <w:webHidden/>
        </w:rPr>
        <w:t>8</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"_Toc144283175" </w:instrText>
      </w:r>
      <w:r>
        <w:rPr/>
        <w:fldChar w:fldCharType="separate"/>
      </w:r>
      <w:r>
        <w:rPr>
          <w:rStyle w:val="style85"/>
          <w:noProof/>
          <w:lang w:val="en-GB"/>
        </w:rPr>
        <w:t>1.5 Justification of the study</w:t>
      </w:r>
      <w:r>
        <w:rPr>
          <w:noProof/>
          <w:webHidden/>
        </w:rPr>
        <w:tab/>
      </w:r>
      <w:r>
        <w:rPr>
          <w:noProof/>
          <w:webHidden/>
        </w:rPr>
        <w:fldChar w:fldCharType="begin"/>
      </w:r>
      <w:r>
        <w:rPr>
          <w:noProof/>
          <w:webHidden/>
        </w:rPr>
        <w:instrText xml:space="preserve"> PAGEREF _Toc144283175 \h </w:instrText>
      </w:r>
      <w:r>
        <w:rPr>
          <w:noProof/>
          <w:webHidden/>
        </w:rPr>
        <w:fldChar w:fldCharType="separate"/>
      </w:r>
      <w:r>
        <w:rPr>
          <w:noProof/>
          <w:webHidden/>
        </w:rPr>
        <w:t>8</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"_Toc144283176" </w:instrText>
      </w:r>
      <w:r>
        <w:rPr/>
        <w:fldChar w:fldCharType="separate"/>
      </w:r>
      <w:r>
        <w:rPr>
          <w:rStyle w:val="style85"/>
          <w:noProof/>
        </w:rPr>
        <w:t>1.6 Assumptions</w:t>
      </w:r>
      <w:r>
        <w:rPr>
          <w:noProof/>
          <w:webHidden/>
        </w:rPr>
        <w:tab/>
      </w:r>
      <w:r>
        <w:rPr>
          <w:noProof/>
          <w:webHidden/>
        </w:rPr>
        <w:fldChar w:fldCharType="begin"/>
      </w:r>
      <w:r>
        <w:rPr>
          <w:noProof/>
          <w:webHidden/>
        </w:rPr>
        <w:instrText xml:space="preserve"> PAGEREF _Toc144283176 \h </w:instrText>
      </w:r>
      <w:r>
        <w:rPr>
          <w:noProof/>
          <w:webHidden/>
        </w:rPr>
        <w:fldChar w:fldCharType="separate"/>
      </w:r>
      <w:r>
        <w:rPr>
          <w:noProof/>
          <w:webHidden/>
        </w:rPr>
        <w:t>9</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"_Toc144283177" </w:instrText>
      </w:r>
      <w:r>
        <w:rPr/>
        <w:fldChar w:fldCharType="separate"/>
      </w:r>
      <w:r>
        <w:rPr>
          <w:rStyle w:val="style85"/>
          <w:noProof/>
        </w:rPr>
        <w:t>1.7 Significance of the study</w:t>
      </w:r>
      <w:r>
        <w:rPr>
          <w:noProof/>
          <w:webHidden/>
        </w:rPr>
        <w:tab/>
      </w:r>
      <w:r>
        <w:rPr>
          <w:noProof/>
          <w:webHidden/>
        </w:rPr>
        <w:fldChar w:fldCharType="begin"/>
      </w:r>
      <w:r>
        <w:rPr>
          <w:noProof/>
          <w:webHidden/>
        </w:rPr>
        <w:instrText xml:space="preserve"> PAGEREF _Toc144283177 \h </w:instrText>
      </w:r>
      <w:r>
        <w:rPr>
          <w:noProof/>
          <w:webHidden/>
        </w:rPr>
        <w:fldChar w:fldCharType="separate"/>
      </w:r>
      <w:r>
        <w:rPr>
          <w:noProof/>
          <w:webHidden/>
        </w:rPr>
        <w:t>9</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"_Toc144283178" </w:instrText>
      </w:r>
      <w:r>
        <w:rPr/>
        <w:fldChar w:fldCharType="separate"/>
      </w:r>
      <w:r>
        <w:rPr>
          <w:rStyle w:val="style85"/>
          <w:noProof/>
        </w:rPr>
        <w:t>1.8 Scope of the study</w:t>
      </w:r>
      <w:r>
        <w:rPr>
          <w:noProof/>
          <w:webHidden/>
        </w:rPr>
        <w:tab/>
      </w:r>
      <w:r>
        <w:rPr>
          <w:noProof/>
          <w:webHidden/>
        </w:rPr>
        <w:fldChar w:fldCharType="begin"/>
      </w:r>
      <w:r>
        <w:rPr>
          <w:noProof/>
          <w:webHidden/>
        </w:rPr>
        <w:instrText xml:space="preserve"> PAGEREF _Toc144283178 \h </w:instrText>
      </w:r>
      <w:r>
        <w:rPr>
          <w:noProof/>
          <w:webHidden/>
        </w:rPr>
        <w:fldChar w:fldCharType="separate"/>
      </w:r>
      <w:r>
        <w:rPr>
          <w:noProof/>
          <w:webHidden/>
        </w:rPr>
        <w:t>10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"_Toc144283179" </w:instrText>
      </w:r>
      <w:r>
        <w:rPr/>
        <w:fldChar w:fldCharType="separate"/>
      </w:r>
      <w:r>
        <w:rPr>
          <w:rStyle w:val="style85"/>
          <w:noProof/>
          <w:lang w:val="en-GB"/>
        </w:rPr>
        <w:t xml:space="preserve">1.9 Limitations </w:t>
      </w:r>
      <w:r>
        <w:rPr>
          <w:rStyle w:val="style85"/>
          <w:noProof/>
        </w:rPr>
        <w:t>of the study</w:t>
      </w:r>
      <w:r>
        <w:rPr>
          <w:noProof/>
          <w:webHidden/>
        </w:rPr>
        <w:tab/>
      </w:r>
      <w:r>
        <w:rPr>
          <w:noProof/>
          <w:webHidden/>
        </w:rPr>
        <w:fldChar w:fldCharType="begin"/>
      </w:r>
      <w:r>
        <w:rPr>
          <w:noProof/>
          <w:webHidden/>
        </w:rPr>
        <w:instrText xml:space="preserve"> PAGEREF _Toc144283179 \h </w:instrText>
      </w:r>
      <w:r>
        <w:rPr>
          <w:noProof/>
          <w:webHidden/>
        </w:rPr>
        <w:fldChar w:fldCharType="separate"/>
      </w:r>
      <w:r>
        <w:rPr>
          <w:noProof/>
          <w:webHidden/>
        </w:rPr>
        <w:t>11</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"_Toc144283180" </w:instrText>
      </w:r>
      <w:r>
        <w:rPr/>
        <w:fldChar w:fldCharType="separate"/>
      </w:r>
      <w:r>
        <w:rPr>
          <w:rStyle w:val="style85"/>
          <w:noProof/>
          <w:lang w:val="en-GB"/>
        </w:rPr>
        <w:t xml:space="preserve">1.10 Delimitations </w:t>
      </w:r>
      <w:r>
        <w:rPr>
          <w:rStyle w:val="style85"/>
          <w:noProof/>
        </w:rPr>
        <w:t>of the study</w:t>
      </w:r>
      <w:r>
        <w:rPr>
          <w:noProof/>
          <w:webHidden/>
        </w:rPr>
        <w:tab/>
      </w:r>
      <w:r>
        <w:rPr>
          <w:noProof/>
          <w:webHidden/>
        </w:rPr>
        <w:fldChar w:fldCharType="begin"/>
      </w:r>
      <w:r>
        <w:rPr>
          <w:noProof/>
          <w:webHidden/>
        </w:rPr>
        <w:instrText xml:space="preserve"> PAGEREF _Toc144283180 \h </w:instrText>
      </w:r>
      <w:r>
        <w:rPr>
          <w:noProof/>
          <w:webHidden/>
        </w:rPr>
        <w:fldChar w:fldCharType="separate"/>
      </w:r>
      <w:r>
        <w:rPr>
          <w:noProof/>
          <w:webHidden/>
        </w:rPr>
        <w:t>11</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"_Toc144283181" </w:instrText>
      </w:r>
      <w:r>
        <w:rPr/>
        <w:fldChar w:fldCharType="separate"/>
      </w:r>
      <w:r>
        <w:rPr>
          <w:rStyle w:val="style85"/>
          <w:noProof/>
        </w:rPr>
        <w:t>CHAPTER TWO</w:t>
      </w:r>
      <w:r>
        <w:rPr>
          <w:noProof/>
          <w:webHidden/>
        </w:rPr>
        <w:tab/>
      </w:r>
      <w:r>
        <w:rPr>
          <w:noProof/>
          <w:webHidden/>
        </w:rPr>
        <w:fldChar w:fldCharType="begin"/>
      </w:r>
      <w:r>
        <w:rPr>
          <w:noProof/>
          <w:webHidden/>
        </w:rPr>
        <w:instrText xml:space="preserve"> PAGEREF _Toc144283181 \h </w:instrText>
      </w:r>
      <w:r>
        <w:rPr>
          <w:noProof/>
          <w:webHidden/>
        </w:rPr>
        <w:fldChar w:fldCharType="separate"/>
      </w:r>
      <w:r>
        <w:rPr>
          <w:noProof/>
          <w:webHidden/>
        </w:rPr>
        <w:t>12</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"_Toc144283182" </w:instrText>
      </w:r>
      <w:r>
        <w:rPr/>
        <w:fldChar w:fldCharType="separate"/>
      </w:r>
      <w:r>
        <w:rPr>
          <w:rStyle w:val="style85"/>
          <w:noProof/>
        </w:rPr>
        <w:t>LITERATURE REVIEW</w:t>
      </w:r>
      <w:r>
        <w:rPr>
          <w:noProof/>
          <w:webHidden/>
        </w:rPr>
        <w:tab/>
      </w:r>
      <w:r>
        <w:rPr>
          <w:noProof/>
          <w:webHidden/>
        </w:rPr>
        <w:fldChar w:fldCharType="begin"/>
      </w:r>
      <w:r>
        <w:rPr>
          <w:noProof/>
          <w:webHidden/>
        </w:rPr>
        <w:instrText xml:space="preserve"> PAGEREF _Toc144283182 \h </w:instrText>
      </w:r>
      <w:r>
        <w:rPr>
          <w:noProof/>
          <w:webHidden/>
        </w:rPr>
        <w:fldChar w:fldCharType="separate"/>
      </w:r>
      <w:r>
        <w:rPr>
          <w:noProof/>
          <w:webHidden/>
        </w:rPr>
        <w:t>12</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"_Toc144283183" </w:instrText>
      </w:r>
      <w:r>
        <w:rPr/>
        <w:fldChar w:fldCharType="separate"/>
      </w:r>
      <w:r>
        <w:rPr>
          <w:rStyle w:val="style85"/>
          <w:noProof/>
        </w:rPr>
        <w:t>2.0 Introduction</w:t>
      </w:r>
      <w:r>
        <w:rPr>
          <w:noProof/>
          <w:webHidden/>
        </w:rPr>
        <w:tab/>
      </w:r>
      <w:r>
        <w:rPr>
          <w:noProof/>
          <w:webHidden/>
        </w:rPr>
        <w:fldChar w:fldCharType="begin"/>
      </w:r>
      <w:r>
        <w:rPr>
          <w:noProof/>
          <w:webHidden/>
        </w:rPr>
        <w:instrText xml:space="preserve"> PAGEREF _Toc144283183 \h </w:instrText>
      </w:r>
      <w:r>
        <w:rPr>
          <w:noProof/>
          <w:webHidden/>
        </w:rPr>
        <w:fldChar w:fldCharType="separate"/>
      </w:r>
      <w:r>
        <w:rPr>
          <w:noProof/>
          <w:webHidden/>
        </w:rPr>
        <w:t>12</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"_Toc144283184" </w:instrText>
      </w:r>
      <w:r>
        <w:rPr/>
        <w:fldChar w:fldCharType="separate"/>
      </w:r>
      <w:r>
        <w:rPr>
          <w:rStyle w:val="style85"/>
          <w:noProof/>
        </w:rPr>
        <w:t>2.1 P</w:t>
      </w:r>
      <w:r>
        <w:rPr>
          <w:rStyle w:val="style85"/>
          <w:noProof/>
          <w:shd w:val="clear" w:color="auto" w:fill="ffffff"/>
        </w:rPr>
        <w:t xml:space="preserve">upils’ </w:t>
      </w:r>
      <w:r>
        <w:rPr>
          <w:rStyle w:val="style85"/>
          <w:noProof/>
        </w:rPr>
        <w:t>academic achievement</w:t>
      </w:r>
      <w:r>
        <w:rPr>
          <w:noProof/>
          <w:webHidden/>
        </w:rPr>
        <w:tab/>
      </w:r>
      <w:r>
        <w:rPr>
          <w:noProof/>
          <w:webHidden/>
        </w:rPr>
        <w:fldChar w:fldCharType="begin"/>
      </w:r>
      <w:r>
        <w:rPr>
          <w:noProof/>
          <w:webHidden/>
        </w:rPr>
        <w:instrText xml:space="preserve"> PAGEREF _Toc144283184 \h </w:instrText>
      </w:r>
      <w:r>
        <w:rPr>
          <w:noProof/>
          <w:webHidden/>
        </w:rPr>
        <w:fldChar w:fldCharType="separate"/>
      </w:r>
      <w:r>
        <w:rPr>
          <w:noProof/>
          <w:webHidden/>
        </w:rPr>
        <w:t>12</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"_Toc144283185" </w:instrText>
      </w:r>
      <w:r>
        <w:rPr/>
        <w:fldChar w:fldCharType="separate"/>
      </w:r>
      <w:r>
        <w:rPr>
          <w:rStyle w:val="style85"/>
          <w:noProof/>
        </w:rPr>
        <w:t xml:space="preserve">2.2 </w:t>
      </w:r>
      <w:r>
        <w:rPr>
          <w:rStyle w:val="style85"/>
          <w:rFonts w:cs="Times New Roman"/>
          <w:noProof/>
        </w:rPr>
        <w:t xml:space="preserve">Household income level and </w:t>
      </w:r>
      <w:r>
        <w:rPr>
          <w:rStyle w:val="style85"/>
          <w:noProof/>
          <w:shd w:val="clear" w:color="auto" w:fill="ffffff"/>
        </w:rPr>
        <w:t xml:space="preserve">pupils’ </w:t>
      </w:r>
      <w:r>
        <w:rPr>
          <w:rStyle w:val="style85"/>
          <w:noProof/>
        </w:rPr>
        <w:t>academic achievement</w:t>
      </w:r>
      <w:r>
        <w:rPr>
          <w:noProof/>
          <w:webHidden/>
        </w:rPr>
        <w:tab/>
      </w:r>
      <w:r>
        <w:rPr>
          <w:noProof/>
          <w:webHidden/>
        </w:rPr>
        <w:fldChar w:fldCharType="begin"/>
      </w:r>
      <w:r>
        <w:rPr>
          <w:noProof/>
          <w:webHidden/>
        </w:rPr>
        <w:instrText xml:space="preserve"> PAGEREF _Toc144283185 \h </w:instrText>
      </w:r>
      <w:r>
        <w:rPr>
          <w:noProof/>
          <w:webHidden/>
        </w:rPr>
        <w:fldChar w:fldCharType="separate"/>
      </w:r>
      <w:r>
        <w:rPr>
          <w:noProof/>
          <w:webHidden/>
        </w:rPr>
        <w:t>13</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"_Toc144283186" </w:instrText>
      </w:r>
      <w:r>
        <w:rPr/>
        <w:fldChar w:fldCharType="separate"/>
      </w:r>
      <w:r>
        <w:rPr>
          <w:rStyle w:val="style85"/>
          <w:noProof/>
        </w:rPr>
        <w:t xml:space="preserve">2.3 </w:t>
      </w:r>
      <w:r>
        <w:rPr>
          <w:rStyle w:val="style85"/>
          <w:rFonts w:cs="Times New Roman"/>
          <w:noProof/>
        </w:rPr>
        <w:t xml:space="preserve">Family size and </w:t>
      </w:r>
      <w:r>
        <w:rPr>
          <w:rStyle w:val="style85"/>
          <w:noProof/>
          <w:shd w:val="clear" w:color="auto" w:fill="ffffff"/>
        </w:rPr>
        <w:t xml:space="preserve">pupils’ </w:t>
      </w:r>
      <w:r>
        <w:rPr>
          <w:rStyle w:val="style85"/>
          <w:noProof/>
        </w:rPr>
        <w:t>academic achievement</w:t>
      </w:r>
      <w:r>
        <w:rPr>
          <w:noProof/>
          <w:webHidden/>
        </w:rPr>
        <w:tab/>
      </w:r>
      <w:r>
        <w:rPr>
          <w:noProof/>
          <w:webHidden/>
        </w:rPr>
        <w:fldChar w:fldCharType="begin"/>
      </w:r>
      <w:r>
        <w:rPr>
          <w:noProof/>
          <w:webHidden/>
        </w:rPr>
        <w:instrText xml:space="preserve"> PAGEREF _Toc144283186 \h </w:instrText>
      </w:r>
      <w:r>
        <w:rPr>
          <w:noProof/>
          <w:webHidden/>
        </w:rPr>
        <w:fldChar w:fldCharType="separate"/>
      </w:r>
      <w:r>
        <w:rPr>
          <w:noProof/>
          <w:webHidden/>
        </w:rPr>
        <w:t>18</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"_Toc144283187" </w:instrText>
      </w:r>
      <w:r>
        <w:rPr/>
        <w:fldChar w:fldCharType="separate"/>
      </w:r>
      <w:r>
        <w:rPr>
          <w:rStyle w:val="style85"/>
          <w:noProof/>
        </w:rPr>
        <w:t xml:space="preserve">2.4 Parents level of education </w:t>
      </w:r>
      <w:r>
        <w:rPr>
          <w:rStyle w:val="style85"/>
          <w:rFonts w:cs="Times New Roman"/>
          <w:noProof/>
        </w:rPr>
        <w:t>and</w:t>
      </w:r>
      <w:r>
        <w:rPr>
          <w:rStyle w:val="style85"/>
          <w:noProof/>
          <w:shd w:val="clear" w:color="auto" w:fill="ffffff"/>
        </w:rPr>
        <w:t xml:space="preserve"> pupils’</w:t>
      </w:r>
      <w:r>
        <w:rPr>
          <w:rStyle w:val="style85"/>
          <w:rFonts w:cs="Times New Roman"/>
          <w:noProof/>
        </w:rPr>
        <w:t xml:space="preserve"> </w:t>
      </w:r>
      <w:r>
        <w:rPr>
          <w:rStyle w:val="style85"/>
          <w:noProof/>
        </w:rPr>
        <w:t>academic achievement</w:t>
      </w:r>
      <w:r>
        <w:rPr>
          <w:noProof/>
          <w:webHidden/>
        </w:rPr>
        <w:tab/>
      </w:r>
      <w:r>
        <w:rPr>
          <w:noProof/>
          <w:webHidden/>
        </w:rPr>
        <w:fldChar w:fldCharType="begin"/>
      </w:r>
      <w:r>
        <w:rPr>
          <w:noProof/>
          <w:webHidden/>
        </w:rPr>
        <w:instrText xml:space="preserve"> PAGEREF _Toc144283187 \h </w:instrText>
      </w:r>
      <w:r>
        <w:rPr>
          <w:noProof/>
          <w:webHidden/>
        </w:rPr>
        <w:fldChar w:fldCharType="separate"/>
      </w:r>
      <w:r>
        <w:rPr>
          <w:noProof/>
          <w:webHidden/>
        </w:rPr>
        <w:t>21</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"_Toc144283188" </w:instrText>
      </w:r>
      <w:r>
        <w:rPr/>
        <w:fldChar w:fldCharType="separate"/>
      </w:r>
      <w:r>
        <w:rPr>
          <w:rStyle w:val="style85"/>
          <w:noProof/>
        </w:rPr>
        <w:t>2.5 Theoretical framework</w:t>
      </w:r>
      <w:r>
        <w:rPr>
          <w:noProof/>
          <w:webHidden/>
        </w:rPr>
        <w:tab/>
      </w:r>
      <w:r>
        <w:rPr>
          <w:noProof/>
          <w:webHidden/>
        </w:rPr>
        <w:fldChar w:fldCharType="begin"/>
      </w:r>
      <w:r>
        <w:rPr>
          <w:noProof/>
          <w:webHidden/>
        </w:rPr>
        <w:instrText xml:space="preserve"> PAGEREF _Toc144283188 \h </w:instrText>
      </w:r>
      <w:r>
        <w:rPr>
          <w:noProof/>
          <w:webHidden/>
        </w:rPr>
        <w:fldChar w:fldCharType="separate"/>
      </w:r>
      <w:r>
        <w:rPr>
          <w:noProof/>
          <w:webHidden/>
        </w:rPr>
        <w:t>25</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"_Toc144283189" </w:instrText>
      </w:r>
      <w:r>
        <w:rPr/>
        <w:fldChar w:fldCharType="separate"/>
      </w:r>
      <w:r>
        <w:rPr>
          <w:rStyle w:val="style85"/>
          <w:noProof/>
        </w:rPr>
        <w:t>2.6 The conceptual framework</w:t>
      </w:r>
      <w:r>
        <w:rPr>
          <w:noProof/>
          <w:webHidden/>
        </w:rPr>
        <w:tab/>
      </w:r>
      <w:r>
        <w:rPr>
          <w:noProof/>
          <w:webHidden/>
        </w:rPr>
        <w:fldChar w:fldCharType="begin"/>
      </w:r>
      <w:r>
        <w:rPr>
          <w:noProof/>
          <w:webHidden/>
        </w:rPr>
        <w:instrText xml:space="preserve"> PAGEREF _Toc144283189 \h </w:instrText>
      </w:r>
      <w:r>
        <w:rPr>
          <w:noProof/>
          <w:webHidden/>
        </w:rPr>
        <w:fldChar w:fldCharType="separate"/>
      </w:r>
      <w:r>
        <w:rPr>
          <w:noProof/>
          <w:webHidden/>
        </w:rPr>
        <w:t>27</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"_Toc144283190" </w:instrText>
      </w:r>
      <w:r>
        <w:rPr/>
        <w:fldChar w:fldCharType="separate"/>
      </w:r>
      <w:r>
        <w:rPr>
          <w:rStyle w:val="style85"/>
          <w:noProof/>
          <w:lang w:val="en-GB"/>
        </w:rPr>
        <w:t>2.7 Summary of the literature review</w:t>
      </w:r>
      <w:r>
        <w:rPr>
          <w:noProof/>
          <w:webHidden/>
        </w:rPr>
        <w:tab/>
      </w:r>
      <w:r>
        <w:rPr>
          <w:noProof/>
          <w:webHidden/>
        </w:rPr>
        <w:fldChar w:fldCharType="begin"/>
      </w:r>
      <w:r>
        <w:rPr>
          <w:noProof/>
          <w:webHidden/>
        </w:rPr>
        <w:instrText xml:space="preserve"> PAGEREF _Toc144283190 \h </w:instrText>
      </w:r>
      <w:r>
        <w:rPr>
          <w:noProof/>
          <w:webHidden/>
        </w:rPr>
        <w:fldChar w:fldCharType="separate"/>
      </w:r>
      <w:r>
        <w:rPr>
          <w:noProof/>
          <w:webHidden/>
        </w:rPr>
        <w:t>29</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"_Toc144283191" </w:instrText>
      </w:r>
      <w:r>
        <w:rPr/>
        <w:fldChar w:fldCharType="separate"/>
      </w:r>
      <w:r>
        <w:rPr>
          <w:rStyle w:val="style85"/>
          <w:noProof/>
        </w:rPr>
        <w:t>CHAPTER THREE</w:t>
      </w:r>
      <w:r>
        <w:rPr>
          <w:noProof/>
          <w:webHidden/>
        </w:rPr>
        <w:tab/>
      </w:r>
      <w:r>
        <w:rPr>
          <w:noProof/>
          <w:webHidden/>
        </w:rPr>
        <w:fldChar w:fldCharType="begin"/>
      </w:r>
      <w:r>
        <w:rPr>
          <w:noProof/>
          <w:webHidden/>
        </w:rPr>
        <w:instrText xml:space="preserve"> PAGEREF _Toc144283191 \h </w:instrText>
      </w:r>
      <w:r>
        <w:rPr>
          <w:noProof/>
          <w:webHidden/>
        </w:rPr>
        <w:fldChar w:fldCharType="separate"/>
      </w:r>
      <w:r>
        <w:rPr>
          <w:noProof/>
          <w:webHidden/>
        </w:rPr>
        <w:t>30</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"_Toc144283192" </w:instrText>
      </w:r>
      <w:r>
        <w:rPr/>
        <w:fldChar w:fldCharType="separate"/>
      </w:r>
      <w:r>
        <w:rPr>
          <w:rStyle w:val="style85"/>
          <w:noProof/>
        </w:rPr>
        <w:t>RESEARCH METHODOLOGY</w:t>
      </w:r>
      <w:r>
        <w:rPr>
          <w:noProof/>
          <w:webHidden/>
        </w:rPr>
        <w:tab/>
      </w:r>
      <w:r>
        <w:rPr>
          <w:noProof/>
          <w:webHidden/>
        </w:rPr>
        <w:fldChar w:fldCharType="begin"/>
      </w:r>
      <w:r>
        <w:rPr>
          <w:noProof/>
          <w:webHidden/>
        </w:rPr>
        <w:instrText xml:space="preserve"> PAGEREF _Toc144283192 \h </w:instrText>
      </w:r>
      <w:r>
        <w:rPr>
          <w:noProof/>
          <w:webHidden/>
        </w:rPr>
        <w:fldChar w:fldCharType="separate"/>
      </w:r>
      <w:r>
        <w:rPr>
          <w:noProof/>
          <w:webHidden/>
        </w:rPr>
        <w:t>30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"_Toc144283193" </w:instrText>
      </w:r>
      <w:r>
        <w:rPr/>
        <w:fldChar w:fldCharType="separate"/>
      </w:r>
      <w:r>
        <w:rPr>
          <w:rStyle w:val="style85"/>
          <w:noProof/>
        </w:rPr>
        <w:t>3.0 Introduction</w:t>
      </w:r>
      <w:r>
        <w:rPr>
          <w:noProof/>
          <w:webHidden/>
        </w:rPr>
        <w:tab/>
      </w:r>
      <w:r>
        <w:rPr>
          <w:noProof/>
          <w:webHidden/>
        </w:rPr>
        <w:fldChar w:fldCharType="begin"/>
      </w:r>
      <w:r>
        <w:rPr>
          <w:noProof/>
          <w:webHidden/>
        </w:rPr>
        <w:instrText xml:space="preserve"> PAGEREF _Toc144283193 \h </w:instrText>
      </w:r>
      <w:r>
        <w:rPr>
          <w:noProof/>
          <w:webHidden/>
        </w:rPr>
        <w:fldChar w:fldCharType="separate"/>
      </w:r>
      <w:r>
        <w:rPr>
          <w:noProof/>
          <w:webHidden/>
        </w:rPr>
        <w:t>30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"_Toc144283194" </w:instrText>
      </w:r>
      <w:r>
        <w:rPr/>
        <w:fldChar w:fldCharType="separate"/>
      </w:r>
      <w:r>
        <w:rPr>
          <w:rStyle w:val="style85"/>
          <w:noProof/>
        </w:rPr>
        <w:t>3.1 Research design</w:t>
      </w:r>
      <w:r>
        <w:rPr>
          <w:noProof/>
          <w:webHidden/>
        </w:rPr>
        <w:tab/>
      </w:r>
      <w:r>
        <w:rPr>
          <w:noProof/>
          <w:webHidden/>
        </w:rPr>
        <w:fldChar w:fldCharType="begin"/>
      </w:r>
      <w:r>
        <w:rPr>
          <w:noProof/>
          <w:webHidden/>
        </w:rPr>
        <w:instrText xml:space="preserve"> PAGEREF _Toc144283194 \h </w:instrText>
      </w:r>
      <w:r>
        <w:rPr>
          <w:noProof/>
          <w:webHidden/>
        </w:rPr>
        <w:fldChar w:fldCharType="separate"/>
      </w:r>
      <w:r>
        <w:rPr>
          <w:noProof/>
          <w:webHidden/>
        </w:rPr>
        <w:t>30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"_Toc144283195" </w:instrText>
      </w:r>
      <w:r>
        <w:rPr/>
        <w:fldChar w:fldCharType="separate"/>
      </w:r>
      <w:r>
        <w:rPr>
          <w:rStyle w:val="style85"/>
          <w:noProof/>
          <w:lang w:val="en-GB"/>
        </w:rPr>
        <w:t>3.2 Location of the study</w:t>
      </w:r>
      <w:r>
        <w:rPr>
          <w:noProof/>
          <w:webHidden/>
        </w:rPr>
        <w:tab/>
      </w:r>
      <w:r>
        <w:rPr>
          <w:noProof/>
          <w:webHidden/>
        </w:rPr>
        <w:fldChar w:fldCharType="begin"/>
      </w:r>
      <w:r>
        <w:rPr>
          <w:noProof/>
          <w:webHidden/>
        </w:rPr>
        <w:instrText xml:space="preserve"> PAGEREF _Toc144283195 \h </w:instrText>
      </w:r>
      <w:r>
        <w:rPr>
          <w:noProof/>
          <w:webHidden/>
        </w:rPr>
        <w:fldChar w:fldCharType="separate"/>
      </w:r>
      <w:r>
        <w:rPr>
          <w:noProof/>
          <w:webHidden/>
        </w:rPr>
        <w:t>31</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"_Toc144283196" </w:instrText>
      </w:r>
      <w:r>
        <w:rPr/>
        <w:fldChar w:fldCharType="separate"/>
      </w:r>
      <w:r>
        <w:rPr>
          <w:rStyle w:val="style85"/>
          <w:noProof/>
        </w:rPr>
        <w:t>3.3 Target population</w:t>
      </w:r>
      <w:r>
        <w:rPr>
          <w:noProof/>
          <w:webHidden/>
        </w:rPr>
        <w:tab/>
      </w:r>
      <w:r>
        <w:rPr>
          <w:noProof/>
          <w:webHidden/>
        </w:rPr>
        <w:fldChar w:fldCharType="begin"/>
      </w:r>
      <w:r>
        <w:rPr>
          <w:noProof/>
          <w:webHidden/>
        </w:rPr>
        <w:instrText xml:space="preserve"> PAGEREF _Toc144283196 \h </w:instrText>
      </w:r>
      <w:r>
        <w:rPr>
          <w:noProof/>
          <w:webHidden/>
        </w:rPr>
        <w:fldChar w:fldCharType="separate"/>
      </w:r>
      <w:r>
        <w:rPr>
          <w:noProof/>
          <w:webHidden/>
        </w:rPr>
        <w:t>31</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"_Toc144283197" </w:instrText>
      </w:r>
      <w:r>
        <w:rPr/>
        <w:fldChar w:fldCharType="separate"/>
      </w:r>
      <w:r>
        <w:rPr>
          <w:rStyle w:val="style85"/>
          <w:noProof/>
        </w:rPr>
        <w:t>3.4 Sampling techniques</w:t>
      </w:r>
      <w:r>
        <w:rPr>
          <w:noProof/>
          <w:webHidden/>
        </w:rPr>
        <w:tab/>
      </w:r>
      <w:r>
        <w:rPr>
          <w:noProof/>
          <w:webHidden/>
        </w:rPr>
        <w:fldChar w:fldCharType="begin"/>
      </w:r>
      <w:r>
        <w:rPr>
          <w:noProof/>
          <w:webHidden/>
        </w:rPr>
        <w:instrText xml:space="preserve"> PAGEREF _Toc144283197 \h </w:instrText>
      </w:r>
      <w:r>
        <w:rPr>
          <w:noProof/>
          <w:webHidden/>
        </w:rPr>
        <w:fldChar w:fldCharType="separate"/>
      </w:r>
      <w:r>
        <w:rPr>
          <w:noProof/>
          <w:webHidden/>
        </w:rPr>
        <w:t>32</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"_Toc144283198" </w:instrText>
      </w:r>
      <w:r>
        <w:rPr/>
        <w:fldChar w:fldCharType="separate"/>
      </w:r>
      <w:r>
        <w:rPr>
          <w:rStyle w:val="style85"/>
          <w:noProof/>
        </w:rPr>
        <w:t>3.5 Research instruments</w:t>
      </w:r>
      <w:r>
        <w:rPr>
          <w:noProof/>
          <w:webHidden/>
        </w:rPr>
        <w:tab/>
      </w:r>
      <w:r>
        <w:rPr>
          <w:noProof/>
          <w:webHidden/>
        </w:rPr>
        <w:fldChar w:fldCharType="begin"/>
      </w:r>
      <w:r>
        <w:rPr>
          <w:noProof/>
          <w:webHidden/>
        </w:rPr>
        <w:instrText xml:space="preserve"> PAGEREF _Toc144283198 \h </w:instrText>
      </w:r>
      <w:r>
        <w:rPr>
          <w:noProof/>
          <w:webHidden/>
        </w:rPr>
        <w:fldChar w:fldCharType="separate"/>
      </w:r>
      <w:r>
        <w:rPr>
          <w:noProof/>
          <w:webHidden/>
        </w:rPr>
        <w:t>34</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"_Toc144283199" </w:instrText>
      </w:r>
      <w:r>
        <w:rPr/>
        <w:fldChar w:fldCharType="separate"/>
      </w:r>
      <w:r>
        <w:rPr>
          <w:rStyle w:val="style85"/>
          <w:rFonts w:cs="Times New Roman"/>
          <w:noProof/>
        </w:rPr>
        <w:t xml:space="preserve">3.6 </w:t>
      </w:r>
      <w:r>
        <w:rPr>
          <w:rStyle w:val="style85"/>
          <w:noProof/>
        </w:rPr>
        <w:t>Pilot Test</w:t>
      </w:r>
      <w:r>
        <w:rPr>
          <w:noProof/>
          <w:webHidden/>
        </w:rPr>
        <w:tab/>
      </w:r>
      <w:r>
        <w:rPr>
          <w:noProof/>
          <w:webHidden/>
        </w:rPr>
        <w:fldChar w:fldCharType="begin"/>
      </w:r>
      <w:r>
        <w:rPr>
          <w:noProof/>
          <w:webHidden/>
        </w:rPr>
        <w:instrText xml:space="preserve"> PAGEREF _Toc144283199 \h </w:instrText>
      </w:r>
      <w:r>
        <w:rPr>
          <w:noProof/>
          <w:webHidden/>
        </w:rPr>
        <w:fldChar w:fldCharType="separate"/>
      </w:r>
      <w:r>
        <w:rPr>
          <w:noProof/>
          <w:webHidden/>
        </w:rPr>
        <w:t>35</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"_Toc144283200" </w:instrText>
      </w:r>
      <w:r>
        <w:rPr/>
        <w:fldChar w:fldCharType="separate"/>
      </w:r>
      <w:r>
        <w:rPr>
          <w:rStyle w:val="style85"/>
          <w:rFonts w:cs="Times New Roman"/>
          <w:noProof/>
        </w:rPr>
        <w:t xml:space="preserve">3.7 </w:t>
      </w:r>
      <w:r>
        <w:rPr>
          <w:rStyle w:val="style85"/>
          <w:noProof/>
          <w:lang w:val="en-GB"/>
        </w:rPr>
        <w:t>Data collection techniques</w:t>
      </w:r>
      <w:r>
        <w:rPr>
          <w:noProof/>
          <w:webHidden/>
        </w:rPr>
        <w:tab/>
      </w:r>
      <w:r>
        <w:rPr>
          <w:noProof/>
          <w:webHidden/>
        </w:rPr>
        <w:fldChar w:fldCharType="begin"/>
      </w:r>
      <w:r>
        <w:rPr>
          <w:noProof/>
          <w:webHidden/>
        </w:rPr>
        <w:instrText xml:space="preserve"> PAGEREF _Toc144283200 \h </w:instrText>
      </w:r>
      <w:r>
        <w:rPr>
          <w:noProof/>
          <w:webHidden/>
        </w:rPr>
        <w:fldChar w:fldCharType="separate"/>
      </w:r>
      <w:r>
        <w:rPr>
          <w:noProof/>
          <w:webHidden/>
        </w:rPr>
        <w:t>36</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"_Toc144283201" </w:instrText>
      </w:r>
      <w:r>
        <w:rPr/>
        <w:fldChar w:fldCharType="separate"/>
      </w:r>
      <w:r>
        <w:rPr>
          <w:rStyle w:val="style85"/>
          <w:noProof/>
        </w:rPr>
        <w:t>3.8 Data analysis</w:t>
      </w:r>
      <w:r>
        <w:rPr>
          <w:noProof/>
          <w:webHidden/>
        </w:rPr>
        <w:tab/>
      </w:r>
      <w:r>
        <w:rPr>
          <w:noProof/>
          <w:webHidden/>
        </w:rPr>
        <w:fldChar w:fldCharType="begin"/>
      </w:r>
      <w:r>
        <w:rPr>
          <w:noProof/>
          <w:webHidden/>
        </w:rPr>
        <w:instrText xml:space="preserve"> PAGEREF _Toc144283201 \h </w:instrText>
      </w:r>
      <w:r>
        <w:rPr>
          <w:noProof/>
          <w:webHidden/>
        </w:rPr>
        <w:fldChar w:fldCharType="separate"/>
      </w:r>
      <w:r>
        <w:rPr>
          <w:noProof/>
          <w:webHidden/>
        </w:rPr>
        <w:t>37</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"_Toc144283202" </w:instrText>
      </w:r>
      <w:r>
        <w:rPr/>
        <w:fldChar w:fldCharType="separate"/>
      </w:r>
      <w:r>
        <w:rPr>
          <w:rStyle w:val="style85"/>
          <w:noProof/>
        </w:rPr>
        <w:t>3.9 Logistical and ethical considerations</w:t>
      </w:r>
      <w:r>
        <w:rPr>
          <w:noProof/>
          <w:webHidden/>
        </w:rPr>
        <w:tab/>
      </w:r>
      <w:r>
        <w:rPr>
          <w:noProof/>
          <w:webHidden/>
        </w:rPr>
        <w:fldChar w:fldCharType="begin"/>
      </w:r>
      <w:r>
        <w:rPr>
          <w:noProof/>
          <w:webHidden/>
        </w:rPr>
        <w:instrText xml:space="preserve"> PAGEREF _Toc144283202 \h </w:instrText>
      </w:r>
      <w:r>
        <w:rPr>
          <w:noProof/>
          <w:webHidden/>
        </w:rPr>
        <w:fldChar w:fldCharType="separate"/>
      </w:r>
      <w:r>
        <w:rPr>
          <w:noProof/>
          <w:webHidden/>
        </w:rPr>
        <w:t>38</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"_Toc144283203" </w:instrText>
      </w:r>
      <w:r>
        <w:rPr/>
        <w:fldChar w:fldCharType="separate"/>
      </w:r>
      <w:r>
        <w:rPr>
          <w:rStyle w:val="style85"/>
          <w:noProof/>
        </w:rPr>
        <w:t>CHAPTER FOUR</w:t>
      </w:r>
      <w:r>
        <w:rPr>
          <w:noProof/>
          <w:webHidden/>
        </w:rPr>
        <w:tab/>
      </w:r>
      <w:r>
        <w:rPr>
          <w:noProof/>
          <w:webHidden/>
        </w:rPr>
        <w:fldChar w:fldCharType="begin"/>
      </w:r>
      <w:r>
        <w:rPr>
          <w:noProof/>
          <w:webHidden/>
        </w:rPr>
        <w:instrText xml:space="preserve"> PAGEREF _Toc144283203 \h </w:instrText>
      </w:r>
      <w:r>
        <w:rPr>
          <w:noProof/>
          <w:webHidden/>
        </w:rPr>
        <w:fldChar w:fldCharType="separate"/>
      </w:r>
      <w:r>
        <w:rPr>
          <w:noProof/>
          <w:webHidden/>
        </w:rPr>
        <w:t>39</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"_Toc144283204" </w:instrText>
      </w:r>
      <w:r>
        <w:rPr/>
        <w:fldChar w:fldCharType="separate"/>
      </w:r>
      <w:r>
        <w:rPr>
          <w:rStyle w:val="style85"/>
          <w:noProof/>
        </w:rPr>
        <w:t>RESULTS, INTEPRETATION AND DISCUSSION</w:t>
      </w:r>
      <w:r>
        <w:rPr>
          <w:noProof/>
          <w:webHidden/>
        </w:rPr>
        <w:tab/>
      </w:r>
      <w:r>
        <w:rPr>
          <w:noProof/>
          <w:webHidden/>
        </w:rPr>
        <w:fldChar w:fldCharType="begin"/>
      </w:r>
      <w:r>
        <w:rPr>
          <w:noProof/>
          <w:webHidden/>
        </w:rPr>
        <w:instrText xml:space="preserve"> PAGEREF _Toc144283204 \h </w:instrText>
      </w:r>
      <w:r>
        <w:rPr>
          <w:noProof/>
          <w:webHidden/>
        </w:rPr>
        <w:fldChar w:fldCharType="separate"/>
      </w:r>
      <w:r>
        <w:rPr>
          <w:noProof/>
          <w:webHidden/>
        </w:rPr>
        <w:t>39</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"_Toc144283205" </w:instrText>
      </w:r>
      <w:r>
        <w:rPr/>
        <w:fldChar w:fldCharType="separate"/>
      </w:r>
      <w:r>
        <w:rPr>
          <w:rStyle w:val="style85"/>
          <w:noProof/>
        </w:rPr>
        <w:t>4.1 Introduction</w:t>
      </w:r>
      <w:r>
        <w:rPr>
          <w:noProof/>
          <w:webHidden/>
        </w:rPr>
        <w:tab/>
      </w:r>
      <w:r>
        <w:rPr>
          <w:noProof/>
          <w:webHidden/>
        </w:rPr>
        <w:fldChar w:fldCharType="begin"/>
      </w:r>
      <w:r>
        <w:rPr>
          <w:noProof/>
          <w:webHidden/>
        </w:rPr>
        <w:instrText xml:space="preserve"> PAGEREF _Toc144283205 \h </w:instrText>
      </w:r>
      <w:r>
        <w:rPr>
          <w:noProof/>
          <w:webHidden/>
        </w:rPr>
        <w:fldChar w:fldCharType="separate"/>
      </w:r>
      <w:r>
        <w:rPr>
          <w:noProof/>
          <w:webHidden/>
        </w:rPr>
        <w:t>39</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"_Toc144283206" </w:instrText>
      </w:r>
      <w:r>
        <w:rPr/>
        <w:fldChar w:fldCharType="separate"/>
      </w:r>
      <w:r>
        <w:rPr>
          <w:rStyle w:val="style85"/>
          <w:noProof/>
        </w:rPr>
        <w:t>4.2 Questionnaire return rate</w:t>
      </w:r>
      <w:r>
        <w:rPr>
          <w:noProof/>
          <w:webHidden/>
        </w:rPr>
        <w:tab/>
      </w:r>
      <w:r>
        <w:rPr>
          <w:noProof/>
          <w:webHidden/>
        </w:rPr>
        <w:fldChar w:fldCharType="begin"/>
      </w:r>
      <w:r>
        <w:rPr>
          <w:noProof/>
          <w:webHidden/>
        </w:rPr>
        <w:instrText xml:space="preserve"> PAGEREF _Toc144283206 \h </w:instrText>
      </w:r>
      <w:r>
        <w:rPr>
          <w:noProof/>
          <w:webHidden/>
        </w:rPr>
        <w:fldChar w:fldCharType="separate"/>
      </w:r>
      <w:r>
        <w:rPr>
          <w:noProof/>
          <w:webHidden/>
        </w:rPr>
        <w:t>39</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"_Toc144283207" </w:instrText>
      </w:r>
      <w:r>
        <w:rPr/>
        <w:fldChar w:fldCharType="separate"/>
      </w:r>
      <w:r>
        <w:rPr>
          <w:rStyle w:val="style85"/>
          <w:noProof/>
        </w:rPr>
        <w:t>4.3 Reliability test results</w:t>
      </w:r>
      <w:r>
        <w:rPr>
          <w:noProof/>
          <w:webHidden/>
        </w:rPr>
        <w:tab/>
      </w:r>
      <w:r>
        <w:rPr>
          <w:noProof/>
          <w:webHidden/>
        </w:rPr>
        <w:fldChar w:fldCharType="begin"/>
      </w:r>
      <w:r>
        <w:rPr>
          <w:noProof/>
          <w:webHidden/>
        </w:rPr>
        <w:instrText xml:space="preserve"> PAGEREF _Toc144283207 \h </w:instrText>
      </w:r>
      <w:r>
        <w:rPr>
          <w:noProof/>
          <w:webHidden/>
        </w:rPr>
        <w:fldChar w:fldCharType="separate"/>
      </w:r>
      <w:r>
        <w:rPr>
          <w:noProof/>
          <w:webHidden/>
        </w:rPr>
        <w:t>40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"_Toc144283208" </w:instrText>
      </w:r>
      <w:r>
        <w:rPr/>
        <w:fldChar w:fldCharType="separate"/>
      </w:r>
      <w:r>
        <w:rPr>
          <w:rStyle w:val="style85"/>
          <w:noProof/>
        </w:rPr>
        <w:t>4.4 Demographic data</w:t>
      </w:r>
      <w:r>
        <w:rPr>
          <w:noProof/>
          <w:webHidden/>
        </w:rPr>
        <w:tab/>
      </w:r>
      <w:r>
        <w:rPr>
          <w:noProof/>
          <w:webHidden/>
        </w:rPr>
        <w:fldChar w:fldCharType="begin"/>
      </w:r>
      <w:r>
        <w:rPr>
          <w:noProof/>
          <w:webHidden/>
        </w:rPr>
        <w:instrText xml:space="preserve"> PAGEREF _Toc144283208 \h </w:instrText>
      </w:r>
      <w:r>
        <w:rPr>
          <w:noProof/>
          <w:webHidden/>
        </w:rPr>
        <w:fldChar w:fldCharType="separate"/>
      </w:r>
      <w:r>
        <w:rPr>
          <w:noProof/>
          <w:webHidden/>
        </w:rPr>
        <w:t>40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"_Toc144283209" </w:instrText>
      </w:r>
      <w:r>
        <w:rPr/>
        <w:fldChar w:fldCharType="separate"/>
      </w:r>
      <w:r>
        <w:rPr>
          <w:rStyle w:val="style85"/>
          <w:noProof/>
        </w:rPr>
        <w:t xml:space="preserve">4.5 </w:t>
      </w:r>
      <w:r>
        <w:rPr>
          <w:rStyle w:val="style85"/>
          <w:noProof/>
          <w:shd w:val="clear" w:color="auto" w:fill="ffffff"/>
        </w:rPr>
        <w:t>Pupils’ academic achievement of public primary schools</w:t>
      </w:r>
      <w:r>
        <w:rPr>
          <w:noProof/>
          <w:webHidden/>
        </w:rPr>
        <w:tab/>
      </w:r>
      <w:r>
        <w:rPr>
          <w:noProof/>
          <w:webHidden/>
        </w:rPr>
        <w:fldChar w:fldCharType="begin"/>
      </w:r>
      <w:r>
        <w:rPr>
          <w:noProof/>
          <w:webHidden/>
        </w:rPr>
        <w:instrText xml:space="preserve"> PAGEREF _Toc144283209 \h </w:instrText>
      </w:r>
      <w:r>
        <w:rPr>
          <w:noProof/>
          <w:webHidden/>
        </w:rPr>
        <w:fldChar w:fldCharType="separate"/>
      </w:r>
      <w:r>
        <w:rPr>
          <w:noProof/>
          <w:webHidden/>
        </w:rPr>
        <w:t>50</w:t>
      </w:r>
      <w:r>
        <w:rPr>
          <w:noProof/>
          <w:webHidden/>
        </w:rPr>
        <w:fldChar w:fldCharType="end"/>
      </w:r>
      <w:r>
        <w:rPr/>
        <w:fldChar w:fldCharType="end"/>
      </w:r>
    </w:p>
    <w:p>
      <w:pPr>
        <w:pStyle w:val="style20"/>
        <w:jc w:val="both"/>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"_Toc144283210" </w:instrText>
      </w:r>
      <w:r>
        <w:rPr/>
        <w:fldChar w:fldCharType="separate"/>
      </w:r>
      <w:r>
        <w:rPr>
          <w:rStyle w:val="style85"/>
          <w:noProof/>
        </w:rPr>
        <w:t>4.6 Relationship between household income level and pupils’ academic achievement of primary schools</w:t>
      </w:r>
      <w:r>
        <w:rPr>
          <w:noProof/>
          <w:webHidden/>
        </w:rPr>
        <w:tab/>
      </w:r>
      <w:r>
        <w:rPr>
          <w:noProof/>
          <w:webHidden/>
        </w:rPr>
        <w:fldChar w:fldCharType="begin"/>
      </w:r>
      <w:r>
        <w:rPr>
          <w:noProof/>
          <w:webHidden/>
        </w:rPr>
        <w:instrText xml:space="preserve"> PAGEREF _Toc144283210 \h </w:instrText>
      </w:r>
      <w:r>
        <w:rPr>
          <w:noProof/>
          <w:webHidden/>
        </w:rPr>
        <w:fldChar w:fldCharType="separate"/>
      </w:r>
      <w:r>
        <w:rPr>
          <w:noProof/>
          <w:webHidden/>
        </w:rPr>
        <w:t>53</w:t>
      </w:r>
      <w:r>
        <w:rPr>
          <w:noProof/>
          <w:webHidden/>
        </w:rPr>
        <w:fldChar w:fldCharType="end"/>
      </w:r>
      <w:r>
        <w:rPr/>
        <w:fldChar w:fldCharType="end"/>
      </w:r>
    </w:p>
    <w:p>
      <w:pPr>
        <w:pStyle w:val="style20"/>
        <w:jc w:val="both"/>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"_Toc144283211" </w:instrText>
      </w:r>
      <w:r>
        <w:rPr/>
        <w:fldChar w:fldCharType="separate"/>
      </w:r>
      <w:r>
        <w:rPr>
          <w:rStyle w:val="style85"/>
          <w:rFonts w:cs="Times New Roman"/>
          <w:noProof/>
        </w:rPr>
        <w:t xml:space="preserve">4.7 </w:t>
      </w:r>
      <w:r>
        <w:rPr>
          <w:rStyle w:val="style85"/>
          <w:noProof/>
        </w:rPr>
        <w:t xml:space="preserve">Relationship between </w:t>
      </w:r>
      <w:r>
        <w:rPr>
          <w:rStyle w:val="style85"/>
          <w:rFonts w:cs="Times New Roman"/>
          <w:noProof/>
        </w:rPr>
        <w:t xml:space="preserve">household family size and pupils’ </w:t>
      </w:r>
      <w:r>
        <w:rPr>
          <w:rStyle w:val="style85"/>
          <w:noProof/>
          <w:shd w:val="clear" w:color="auto" w:fill="ffffff"/>
        </w:rPr>
        <w:t>academic achievement of primary schools</w:t>
      </w:r>
      <w:r>
        <w:rPr>
          <w:noProof/>
          <w:webHidden/>
        </w:rPr>
        <w:tab/>
      </w:r>
      <w:r>
        <w:rPr>
          <w:noProof/>
          <w:webHidden/>
        </w:rPr>
        <w:fldChar w:fldCharType="begin"/>
      </w:r>
      <w:r>
        <w:rPr>
          <w:noProof/>
          <w:webHidden/>
        </w:rPr>
        <w:instrText xml:space="preserve"> PAGEREF _Toc144283211 \h </w:instrText>
      </w:r>
      <w:r>
        <w:rPr>
          <w:noProof/>
          <w:webHidden/>
        </w:rPr>
        <w:fldChar w:fldCharType="separate"/>
      </w:r>
      <w:r>
        <w:rPr>
          <w:noProof/>
          <w:webHidden/>
        </w:rPr>
        <w:t>55</w:t>
      </w:r>
      <w:r>
        <w:rPr>
          <w:noProof/>
          <w:webHidden/>
        </w:rPr>
        <w:fldChar w:fldCharType="end"/>
      </w:r>
      <w:r>
        <w:rPr/>
        <w:fldChar w:fldCharType="end"/>
      </w:r>
    </w:p>
    <w:p>
      <w:pPr>
        <w:pStyle w:val="style20"/>
        <w:jc w:val="both"/>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"_Toc144283212" </w:instrText>
      </w:r>
      <w:r>
        <w:rPr/>
        <w:fldChar w:fldCharType="separate"/>
      </w:r>
      <w:r>
        <w:rPr>
          <w:rStyle w:val="style85"/>
          <w:rFonts w:cs="Times New Roman"/>
          <w:noProof/>
        </w:rPr>
        <w:t xml:space="preserve">4.8 The </w:t>
      </w:r>
      <w:r>
        <w:rPr>
          <w:rStyle w:val="style85"/>
          <w:noProof/>
        </w:rPr>
        <w:t xml:space="preserve">Relationship between </w:t>
      </w:r>
      <w:r>
        <w:rPr>
          <w:rStyle w:val="style85"/>
          <w:rFonts w:cs="Times New Roman"/>
          <w:noProof/>
        </w:rPr>
        <w:t xml:space="preserve">parents’ level of education and pupils’ </w:t>
      </w:r>
      <w:r>
        <w:rPr>
          <w:rStyle w:val="style85"/>
          <w:noProof/>
          <w:shd w:val="clear" w:color="auto" w:fill="ffffff"/>
        </w:rPr>
        <w:t>academic achievement in the primary schools</w:t>
      </w:r>
      <w:r>
        <w:rPr>
          <w:noProof/>
          <w:webHidden/>
        </w:rPr>
        <w:tab/>
      </w:r>
      <w:r>
        <w:rPr>
          <w:noProof/>
          <w:webHidden/>
        </w:rPr>
        <w:fldChar w:fldCharType="begin"/>
      </w:r>
      <w:r>
        <w:rPr>
          <w:noProof/>
          <w:webHidden/>
        </w:rPr>
        <w:instrText xml:space="preserve"> PAGEREF _Toc144283212 \h </w:instrText>
      </w:r>
      <w:r>
        <w:rPr>
          <w:noProof/>
          <w:webHidden/>
        </w:rPr>
        <w:fldChar w:fldCharType="separate"/>
      </w:r>
      <w:r>
        <w:rPr>
          <w:noProof/>
          <w:webHidden/>
        </w:rPr>
        <w:t>57</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"_Toc144283213" </w:instrText>
      </w:r>
      <w:r>
        <w:rPr/>
        <w:fldChar w:fldCharType="separate"/>
      </w:r>
      <w:r>
        <w:rPr>
          <w:rStyle w:val="style85"/>
          <w:noProof/>
        </w:rPr>
        <w:t>CHAPTER FIVE</w:t>
      </w:r>
      <w:r>
        <w:rPr>
          <w:noProof/>
          <w:webHidden/>
        </w:rPr>
        <w:tab/>
      </w:r>
      <w:r>
        <w:rPr>
          <w:noProof/>
          <w:webHidden/>
        </w:rPr>
        <w:fldChar w:fldCharType="begin"/>
      </w:r>
      <w:r>
        <w:rPr>
          <w:noProof/>
          <w:webHidden/>
        </w:rPr>
        <w:instrText xml:space="preserve"> PAGEREF _Toc144283213 \h </w:instrText>
      </w:r>
      <w:r>
        <w:rPr>
          <w:noProof/>
          <w:webHidden/>
        </w:rPr>
        <w:fldChar w:fldCharType="separate"/>
      </w:r>
      <w:r>
        <w:rPr>
          <w:noProof/>
          <w:webHidden/>
        </w:rPr>
        <w:t>60</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"_Toc144283214" </w:instrText>
      </w:r>
      <w:r>
        <w:rPr/>
        <w:fldChar w:fldCharType="separate"/>
      </w:r>
      <w:r>
        <w:rPr>
          <w:rStyle w:val="style85"/>
          <w:noProof/>
        </w:rPr>
        <w:t>SUMMARY, CONCLUSIONS AND RECOMMENDATIONS</w:t>
      </w:r>
      <w:r>
        <w:rPr>
          <w:noProof/>
          <w:webHidden/>
        </w:rPr>
        <w:tab/>
      </w:r>
      <w:r>
        <w:rPr>
          <w:noProof/>
          <w:webHidden/>
        </w:rPr>
        <w:fldChar w:fldCharType="begin"/>
      </w:r>
      <w:r>
        <w:rPr>
          <w:noProof/>
          <w:webHidden/>
        </w:rPr>
        <w:instrText xml:space="preserve"> PAGEREF _Toc144283214 \h </w:instrText>
      </w:r>
      <w:r>
        <w:rPr>
          <w:noProof/>
          <w:webHidden/>
        </w:rPr>
        <w:fldChar w:fldCharType="separate"/>
      </w:r>
      <w:r>
        <w:rPr>
          <w:noProof/>
          <w:webHidden/>
        </w:rPr>
        <w:t>60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"_Toc144283215" </w:instrText>
      </w:r>
      <w:r>
        <w:rPr/>
        <w:fldChar w:fldCharType="separate"/>
      </w:r>
      <w:r>
        <w:rPr>
          <w:rStyle w:val="style85"/>
          <w:noProof/>
        </w:rPr>
        <w:t>5.1 Introduction</w:t>
      </w:r>
      <w:r>
        <w:rPr>
          <w:noProof/>
          <w:webHidden/>
        </w:rPr>
        <w:tab/>
      </w:r>
      <w:r>
        <w:rPr>
          <w:noProof/>
          <w:webHidden/>
        </w:rPr>
        <w:fldChar w:fldCharType="begin"/>
      </w:r>
      <w:r>
        <w:rPr>
          <w:noProof/>
          <w:webHidden/>
        </w:rPr>
        <w:instrText xml:space="preserve"> PAGEREF _Toc144283215 \h </w:instrText>
      </w:r>
      <w:r>
        <w:rPr>
          <w:noProof/>
          <w:webHidden/>
        </w:rPr>
        <w:fldChar w:fldCharType="separate"/>
      </w:r>
      <w:r>
        <w:rPr>
          <w:noProof/>
          <w:webHidden/>
        </w:rPr>
        <w:t>60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"_Toc144283216" </w:instrText>
      </w:r>
      <w:r>
        <w:rPr/>
        <w:fldChar w:fldCharType="separate"/>
      </w:r>
      <w:r>
        <w:rPr>
          <w:rStyle w:val="style85"/>
          <w:noProof/>
        </w:rPr>
        <w:t>5.2 Summary of study findings</w:t>
      </w:r>
      <w:r>
        <w:rPr>
          <w:noProof/>
          <w:webHidden/>
        </w:rPr>
        <w:tab/>
      </w:r>
      <w:r>
        <w:rPr>
          <w:noProof/>
          <w:webHidden/>
        </w:rPr>
        <w:fldChar w:fldCharType="begin"/>
      </w:r>
      <w:r>
        <w:rPr>
          <w:noProof/>
          <w:webHidden/>
        </w:rPr>
        <w:instrText xml:space="preserve"> PAGEREF _Toc144283216 \h </w:instrText>
      </w:r>
      <w:r>
        <w:rPr>
          <w:noProof/>
          <w:webHidden/>
        </w:rPr>
        <w:fldChar w:fldCharType="separate"/>
      </w:r>
      <w:r>
        <w:rPr>
          <w:noProof/>
          <w:webHidden/>
        </w:rPr>
        <w:t>60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"_Toc144283217" </w:instrText>
      </w:r>
      <w:r>
        <w:rPr/>
        <w:fldChar w:fldCharType="separate"/>
      </w:r>
      <w:r>
        <w:rPr>
          <w:rStyle w:val="style85"/>
          <w:noProof/>
        </w:rPr>
        <w:t>5.3 Conclusion</w:t>
      </w:r>
      <w:r>
        <w:rPr>
          <w:noProof/>
          <w:webHidden/>
        </w:rPr>
        <w:tab/>
      </w:r>
      <w:r>
        <w:rPr>
          <w:noProof/>
          <w:webHidden/>
        </w:rPr>
        <w:fldChar w:fldCharType="begin"/>
      </w:r>
      <w:r>
        <w:rPr>
          <w:noProof/>
          <w:webHidden/>
        </w:rPr>
        <w:instrText xml:space="preserve"> PAGEREF _Toc144283217 \h </w:instrText>
      </w:r>
      <w:r>
        <w:rPr>
          <w:noProof/>
          <w:webHidden/>
        </w:rPr>
        <w:fldChar w:fldCharType="separate"/>
      </w:r>
      <w:r>
        <w:rPr>
          <w:noProof/>
          <w:webHidden/>
        </w:rPr>
        <w:t>62</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"_Toc144283218" </w:instrText>
      </w:r>
      <w:r>
        <w:rPr/>
        <w:fldChar w:fldCharType="separate"/>
      </w:r>
      <w:r>
        <w:rPr>
          <w:rStyle w:val="style85"/>
          <w:noProof/>
        </w:rPr>
        <w:t>5.4 Recommendations for study</w:t>
      </w:r>
      <w:r>
        <w:rPr>
          <w:noProof/>
          <w:webHidden/>
        </w:rPr>
        <w:tab/>
      </w:r>
      <w:r>
        <w:rPr>
          <w:noProof/>
          <w:webHidden/>
        </w:rPr>
        <w:fldChar w:fldCharType="begin"/>
      </w:r>
      <w:r>
        <w:rPr>
          <w:noProof/>
          <w:webHidden/>
        </w:rPr>
        <w:instrText xml:space="preserve"> PAGEREF _Toc144283218 \h </w:instrText>
      </w:r>
      <w:r>
        <w:rPr>
          <w:noProof/>
          <w:webHidden/>
        </w:rPr>
        <w:fldChar w:fldCharType="separate"/>
      </w:r>
      <w:r>
        <w:rPr>
          <w:noProof/>
          <w:webHidden/>
        </w:rPr>
        <w:t>64</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"_Toc144283219" </w:instrText>
      </w:r>
      <w:r>
        <w:rPr/>
        <w:fldChar w:fldCharType="separate"/>
      </w:r>
      <w:r>
        <w:rPr>
          <w:rStyle w:val="style85"/>
          <w:noProof/>
        </w:rPr>
        <w:t>5.5 Suggestions for further study</w:t>
      </w:r>
      <w:r>
        <w:rPr>
          <w:noProof/>
          <w:webHidden/>
        </w:rPr>
        <w:tab/>
      </w:r>
      <w:r>
        <w:rPr>
          <w:noProof/>
          <w:webHidden/>
        </w:rPr>
        <w:fldChar w:fldCharType="begin"/>
      </w:r>
      <w:r>
        <w:rPr>
          <w:noProof/>
          <w:webHidden/>
        </w:rPr>
        <w:instrText xml:space="preserve"> PAGEREF _Toc144283219 \h </w:instrText>
      </w:r>
      <w:r>
        <w:rPr>
          <w:noProof/>
          <w:webHidden/>
        </w:rPr>
        <w:fldChar w:fldCharType="separate"/>
      </w:r>
      <w:r>
        <w:rPr>
          <w:noProof/>
          <w:webHidden/>
        </w:rPr>
        <w:t>65</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"_Toc144283220" </w:instrText>
      </w:r>
      <w:r>
        <w:rPr/>
        <w:fldChar w:fldCharType="separate"/>
      </w:r>
      <w:r>
        <w:rPr>
          <w:rStyle w:val="style85"/>
          <w:noProof/>
        </w:rPr>
        <w:t>REFERENCES</w:t>
      </w:r>
      <w:r>
        <w:rPr>
          <w:noProof/>
          <w:webHidden/>
        </w:rPr>
        <w:tab/>
      </w:r>
      <w:r>
        <w:rPr>
          <w:noProof/>
          <w:webHidden/>
        </w:rPr>
        <w:fldChar w:fldCharType="begin"/>
      </w:r>
      <w:r>
        <w:rPr>
          <w:noProof/>
          <w:webHidden/>
        </w:rPr>
        <w:instrText xml:space="preserve"> PAGEREF _Toc144283220 \h </w:instrText>
      </w:r>
      <w:r>
        <w:rPr>
          <w:noProof/>
          <w:webHidden/>
        </w:rPr>
        <w:fldChar w:fldCharType="separate"/>
      </w:r>
      <w:r>
        <w:rPr>
          <w:noProof/>
          <w:webHidden/>
        </w:rPr>
        <w:t>66</w:t>
      </w:r>
      <w:r>
        <w:rPr>
          <w:noProof/>
          <w:webHidden/>
        </w:rPr>
        <w:fldChar w:fldCharType="end"/>
      </w:r>
      <w:r>
        <w:rPr/>
        <w:fldChar w:fldCharType="end"/>
      </w:r>
    </w:p>
    <w:p>
      <w:pPr>
        <w:pStyle w:val="style19"/>
        <w:tabs>
          <w:tab w:val="right" w:leader="dot" w:pos="9017"/>
        </w:tabs>
        <w:rPr>
          <w:rFonts w:ascii="Calibri" w:eastAsia="宋体" w:hAnsi="Calibri"/>
          <w:b w:val="false"/>
          <w:noProof/>
          <w:kern w:val="2"/>
          <w:sz w:val="22"/>
          <w14:ligatures xmlns:w14="http://schemas.microsoft.com/office/word/2010/wordml" w14:val="standardContextual"/>
        </w:rPr>
      </w:pPr>
      <w:r>
        <w:rPr/>
        <w:fldChar w:fldCharType="begin"/>
      </w:r>
      <w:r>
        <w:instrText xml:space="preserve"> HYPERLINK \l "_Toc144283221" </w:instrText>
      </w:r>
      <w:r>
        <w:rPr/>
        <w:fldChar w:fldCharType="separate"/>
      </w:r>
      <w:r>
        <w:rPr>
          <w:rStyle w:val="style85"/>
          <w:noProof/>
        </w:rPr>
        <w:t>APPENDICES</w:t>
      </w:r>
      <w:r>
        <w:rPr>
          <w:noProof/>
          <w:webHidden/>
        </w:rPr>
        <w:tab/>
      </w:r>
      <w:r>
        <w:rPr>
          <w:noProof/>
          <w:webHidden/>
        </w:rPr>
        <w:fldChar w:fldCharType="begin"/>
      </w:r>
      <w:r>
        <w:rPr>
          <w:noProof/>
          <w:webHidden/>
        </w:rPr>
        <w:instrText xml:space="preserve"> PAGEREF _Toc144283221 \h </w:instrText>
      </w:r>
      <w:r>
        <w:rPr>
          <w:noProof/>
          <w:webHidden/>
        </w:rPr>
        <w:fldChar w:fldCharType="separate"/>
      </w:r>
      <w:r>
        <w:rPr>
          <w:noProof/>
          <w:webHidden/>
        </w:rPr>
        <w:t>72</w:t>
      </w:r>
      <w:r>
        <w:rPr>
          <w:noProof/>
          <w:webHidden/>
        </w:rPr>
        <w:fldChar w:fldCharType="end"/>
      </w:r>
      <w:r>
        <w:rPr/>
        <w:fldChar w:fldCharType="end"/>
      </w:r>
    </w:p>
    <w:p>
      <w:pPr>
        <w:pStyle w:val="style20"/>
        <w:rPr/>
      </w:pPr>
      <w:r>
        <w:rPr/>
        <w:fldChar w:fldCharType="end"/>
      </w: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bookmarkStart w:id="5" w:name="_Toc520134458"/>
    <w:bookmarkStart w:id="6" w:name="_Toc144283163"/>
    <w:p>
      <w:pPr>
        <w:pStyle w:val="style1"/>
        <w:spacing w:lineRule="auto" w:line="480"/>
        <w:rPr>
          <w:rFonts w:cs="Times New Roman"/>
          <w:szCs w:val="24"/>
        </w:rPr>
      </w:pPr>
      <w:r>
        <w:rPr>
          <w:rFonts w:cs="Times New Roman"/>
          <w:szCs w:val="24"/>
        </w:rPr>
        <w:t>LIST OF TABLES</w:t>
      </w:r>
      <w:bookmarkEnd w:id="5"/>
      <w:bookmarkEnd w:id="6"/>
    </w:p>
    <w:p>
      <w:pPr>
        <w:pStyle w:val="style35"/>
        <w:jc w:val="both"/>
        <w:rPr>
          <w:rFonts w:ascii="Calibri" w:cs="宋体" w:eastAsia="宋体" w:hAnsi="Calibri"/>
          <w:noProof/>
          <w:kern w:val="2"/>
          <w:sz w:val="22"/>
          <w14:ligatures xmlns:w14="http://schemas.microsoft.com/office/word/2010/wordml" w14:val="standardContextual"/>
        </w:rPr>
      </w:pPr>
      <w:r>
        <w:rPr>
          <w:szCs w:val="24"/>
        </w:rPr>
        <w:fldChar w:fldCharType="begin"/>
      </w:r>
      <w:r>
        <w:rPr>
          <w:szCs w:val="24"/>
        </w:rPr>
        <w:instrText xml:space="preserve"> TOC \h \z \t "Heading 4" \c </w:instrText>
      </w:r>
      <w:r>
        <w:rPr>
          <w:szCs w:val="24"/>
        </w:rPr>
        <w:fldChar w:fldCharType="separate"/>
      </w:r>
      <w:r>
        <w:rPr/>
        <w:fldChar w:fldCharType="begin"/>
      </w:r>
      <w:r>
        <w:instrText xml:space="preserve"> HYPERLINK \l "_Toc144196174" </w:instrText>
      </w:r>
      <w:r>
        <w:rPr/>
        <w:fldChar w:fldCharType="separate"/>
      </w:r>
      <w:r>
        <w:rPr>
          <w:rStyle w:val="style85"/>
          <w:noProof/>
        </w:rPr>
        <w:t>Table 1.1: Comparison of Karaba Zonal KCSE Exam performance to Overall average of Mbeere South Sub- County</w:t>
      </w:r>
      <w:r>
        <w:rPr>
          <w:noProof/>
          <w:webHidden/>
        </w:rPr>
        <w:tab/>
      </w:r>
      <w:r>
        <w:rPr>
          <w:noProof/>
          <w:webHidden/>
        </w:rPr>
        <w:fldChar w:fldCharType="begin"/>
      </w:r>
      <w:r>
        <w:rPr>
          <w:noProof/>
          <w:webHidden/>
        </w:rPr>
        <w:instrText xml:space="preserve"> PAGEREF _Toc144196174 \h </w:instrText>
      </w:r>
      <w:r>
        <w:rPr>
          <w:noProof/>
          <w:webHidden/>
        </w:rPr>
        <w:fldChar w:fldCharType="separate"/>
      </w:r>
      <w:r>
        <w:rPr>
          <w:noProof/>
          <w:webHidden/>
        </w:rPr>
        <w:t>4</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"_Toc144196175" </w:instrText>
      </w:r>
      <w:r>
        <w:rPr/>
        <w:fldChar w:fldCharType="separate"/>
      </w:r>
      <w:r>
        <w:rPr>
          <w:rStyle w:val="style85"/>
          <w:noProof/>
          <w:shd w:val="clear" w:color="auto" w:fill="ffffff"/>
        </w:rPr>
        <w:t>Table 3.1: Target population</w:t>
      </w:r>
      <w:r>
        <w:rPr>
          <w:noProof/>
          <w:webHidden/>
        </w:rPr>
        <w:tab/>
      </w:r>
      <w:r>
        <w:rPr>
          <w:noProof/>
          <w:webHidden/>
        </w:rPr>
        <w:fldChar w:fldCharType="begin"/>
      </w:r>
      <w:r>
        <w:rPr>
          <w:noProof/>
          <w:webHidden/>
        </w:rPr>
        <w:instrText xml:space="preserve"> PAGEREF _Toc144196175 \h </w:instrText>
      </w:r>
      <w:r>
        <w:rPr>
          <w:noProof/>
          <w:webHidden/>
        </w:rPr>
        <w:fldChar w:fldCharType="separate"/>
      </w:r>
      <w:r>
        <w:rPr>
          <w:noProof/>
          <w:webHidden/>
        </w:rPr>
        <w:t>32</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"_Toc144196176" </w:instrText>
      </w:r>
      <w:r>
        <w:rPr/>
        <w:fldChar w:fldCharType="separate"/>
      </w:r>
      <w:r>
        <w:rPr>
          <w:rStyle w:val="style85"/>
          <w:noProof/>
        </w:rPr>
        <w:t>Table 3.2: Sample size</w:t>
      </w:r>
      <w:r>
        <w:rPr>
          <w:noProof/>
          <w:webHidden/>
        </w:rPr>
        <w:tab/>
      </w:r>
      <w:r>
        <w:rPr>
          <w:noProof/>
          <w:webHidden/>
        </w:rPr>
        <w:fldChar w:fldCharType="begin"/>
      </w:r>
      <w:r>
        <w:rPr>
          <w:noProof/>
          <w:webHidden/>
        </w:rPr>
        <w:instrText xml:space="preserve"> PAGEREF _Toc144196176 \h </w:instrText>
      </w:r>
      <w:r>
        <w:rPr>
          <w:noProof/>
          <w:webHidden/>
        </w:rPr>
        <w:fldChar w:fldCharType="separate"/>
      </w:r>
      <w:r>
        <w:rPr>
          <w:noProof/>
          <w:webHidden/>
        </w:rPr>
        <w:t>34</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"_Toc144196177" </w:instrText>
      </w:r>
      <w:r>
        <w:rPr/>
        <w:fldChar w:fldCharType="separate"/>
      </w:r>
      <w:r>
        <w:rPr>
          <w:rStyle w:val="style85"/>
          <w:noProof/>
        </w:rPr>
        <w:t>Table 4.1: Survey Response rate</w:t>
      </w:r>
      <w:r>
        <w:rPr>
          <w:noProof/>
          <w:webHidden/>
        </w:rPr>
        <w:tab/>
      </w:r>
      <w:r>
        <w:rPr>
          <w:noProof/>
          <w:webHidden/>
        </w:rPr>
        <w:fldChar w:fldCharType="begin"/>
      </w:r>
      <w:r>
        <w:rPr>
          <w:noProof/>
          <w:webHidden/>
        </w:rPr>
        <w:instrText xml:space="preserve"> PAGEREF _Toc144196177 \h </w:instrText>
      </w:r>
      <w:r>
        <w:rPr>
          <w:noProof/>
          <w:webHidden/>
        </w:rPr>
        <w:fldChar w:fldCharType="separate"/>
      </w:r>
      <w:r>
        <w:rPr>
          <w:noProof/>
          <w:webHidden/>
        </w:rPr>
        <w:t>39</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"_Toc144196178" </w:instrText>
      </w:r>
      <w:r>
        <w:rPr/>
        <w:fldChar w:fldCharType="separate"/>
      </w:r>
      <w:r>
        <w:rPr>
          <w:rStyle w:val="style85"/>
          <w:noProof/>
        </w:rPr>
        <w:t>Table 4.2: Reliability Results</w:t>
      </w:r>
      <w:r>
        <w:rPr>
          <w:noProof/>
          <w:webHidden/>
        </w:rPr>
        <w:tab/>
      </w:r>
      <w:r>
        <w:rPr>
          <w:noProof/>
          <w:webHidden/>
        </w:rPr>
        <w:fldChar w:fldCharType="begin"/>
      </w:r>
      <w:r>
        <w:rPr>
          <w:noProof/>
          <w:webHidden/>
        </w:rPr>
        <w:instrText xml:space="preserve"> PAGEREF _Toc144196178 \h </w:instrText>
      </w:r>
      <w:r>
        <w:rPr>
          <w:noProof/>
          <w:webHidden/>
        </w:rPr>
        <w:fldChar w:fldCharType="separate"/>
      </w:r>
      <w:r>
        <w:rPr>
          <w:noProof/>
          <w:webHidden/>
        </w:rPr>
        <w:t>40</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"_Toc144196179" </w:instrText>
      </w:r>
      <w:r>
        <w:rPr/>
        <w:fldChar w:fldCharType="separate"/>
      </w:r>
      <w:r>
        <w:rPr>
          <w:rStyle w:val="style85"/>
          <w:noProof/>
        </w:rPr>
        <w:t>Table 4.3: Distribution of respondents by gender</w:t>
      </w:r>
      <w:r>
        <w:rPr>
          <w:noProof/>
          <w:webHidden/>
        </w:rPr>
        <w:tab/>
      </w:r>
      <w:r>
        <w:rPr>
          <w:noProof/>
          <w:webHidden/>
        </w:rPr>
        <w:fldChar w:fldCharType="begin"/>
      </w:r>
      <w:r>
        <w:rPr>
          <w:noProof/>
          <w:webHidden/>
        </w:rPr>
        <w:instrText xml:space="preserve"> PAGEREF _Toc144196179 \h </w:instrText>
      </w:r>
      <w:r>
        <w:rPr>
          <w:noProof/>
          <w:webHidden/>
        </w:rPr>
        <w:fldChar w:fldCharType="separate"/>
      </w:r>
      <w:r>
        <w:rPr>
          <w:noProof/>
          <w:webHidden/>
        </w:rPr>
        <w:t>41</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"_Toc144196180" </w:instrText>
      </w:r>
      <w:r>
        <w:rPr/>
        <w:fldChar w:fldCharType="separate"/>
      </w:r>
      <w:r>
        <w:rPr>
          <w:rStyle w:val="style85"/>
          <w:noProof/>
        </w:rPr>
        <w:t xml:space="preserve">Table 4.4: Distribution of respondents by </w:t>
      </w:r>
      <w:r>
        <w:rPr>
          <w:rStyle w:val="style85"/>
          <w:rFonts w:eastAsia="Times New Roman"/>
          <w:noProof/>
        </w:rPr>
        <w:t>level of education</w:t>
      </w:r>
      <w:r>
        <w:rPr>
          <w:noProof/>
          <w:webHidden/>
        </w:rPr>
        <w:tab/>
      </w:r>
      <w:r>
        <w:rPr>
          <w:noProof/>
          <w:webHidden/>
        </w:rPr>
        <w:fldChar w:fldCharType="begin"/>
      </w:r>
      <w:r>
        <w:rPr>
          <w:noProof/>
          <w:webHidden/>
        </w:rPr>
        <w:instrText xml:space="preserve"> PAGEREF _Toc144196180 \h </w:instrText>
      </w:r>
      <w:r>
        <w:rPr>
          <w:noProof/>
          <w:webHidden/>
        </w:rPr>
        <w:fldChar w:fldCharType="separate"/>
      </w:r>
      <w:r>
        <w:rPr>
          <w:noProof/>
          <w:webHidden/>
        </w:rPr>
        <w:t>43</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"_Toc144196181" </w:instrText>
      </w:r>
      <w:r>
        <w:rPr/>
        <w:fldChar w:fldCharType="separate"/>
      </w:r>
      <w:r>
        <w:rPr>
          <w:rStyle w:val="style85"/>
          <w:noProof/>
        </w:rPr>
        <w:t xml:space="preserve">Table 4.5: Distribution of parent representatives by </w:t>
      </w:r>
      <w:r>
        <w:rPr>
          <w:rStyle w:val="style85"/>
          <w:rFonts w:eastAsia="Times New Roman"/>
          <w:noProof/>
        </w:rPr>
        <w:t>age</w:t>
      </w:r>
      <w:r>
        <w:rPr>
          <w:noProof/>
          <w:webHidden/>
        </w:rPr>
        <w:tab/>
      </w:r>
      <w:r>
        <w:rPr>
          <w:noProof/>
          <w:webHidden/>
        </w:rPr>
        <w:fldChar w:fldCharType="begin"/>
      </w:r>
      <w:r>
        <w:rPr>
          <w:noProof/>
          <w:webHidden/>
        </w:rPr>
        <w:instrText xml:space="preserve"> PAGEREF _Toc144196181 \h </w:instrText>
      </w:r>
      <w:r>
        <w:rPr>
          <w:noProof/>
          <w:webHidden/>
        </w:rPr>
        <w:fldChar w:fldCharType="separate"/>
      </w:r>
      <w:r>
        <w:rPr>
          <w:noProof/>
          <w:webHidden/>
        </w:rPr>
        <w:t>44</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"_Toc144196182" </w:instrText>
      </w:r>
      <w:r>
        <w:rPr/>
        <w:fldChar w:fldCharType="separate"/>
      </w:r>
      <w:r>
        <w:rPr>
          <w:rStyle w:val="style85"/>
          <w:noProof/>
        </w:rPr>
        <w:t>Table 4.6: Number of children by parent representatives</w:t>
      </w:r>
      <w:r>
        <w:rPr>
          <w:noProof/>
          <w:webHidden/>
        </w:rPr>
        <w:tab/>
      </w:r>
      <w:r>
        <w:rPr>
          <w:noProof/>
          <w:webHidden/>
        </w:rPr>
        <w:fldChar w:fldCharType="begin"/>
      </w:r>
      <w:r>
        <w:rPr>
          <w:noProof/>
          <w:webHidden/>
        </w:rPr>
        <w:instrText xml:space="preserve"> PAGEREF _Toc144196182 \h </w:instrText>
      </w:r>
      <w:r>
        <w:rPr>
          <w:noProof/>
          <w:webHidden/>
        </w:rPr>
        <w:fldChar w:fldCharType="separate"/>
      </w:r>
      <w:r>
        <w:rPr>
          <w:noProof/>
          <w:webHidden/>
        </w:rPr>
        <w:t>45</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"_Toc144196183" </w:instrText>
      </w:r>
      <w:r>
        <w:rPr/>
        <w:fldChar w:fldCharType="separate"/>
      </w:r>
      <w:r>
        <w:rPr>
          <w:rStyle w:val="style85"/>
          <w:noProof/>
        </w:rPr>
        <w:t>Table 4.7: Parents’ size of household income per month</w:t>
      </w:r>
      <w:r>
        <w:rPr>
          <w:noProof/>
          <w:webHidden/>
        </w:rPr>
        <w:tab/>
      </w:r>
      <w:r>
        <w:rPr>
          <w:noProof/>
          <w:webHidden/>
        </w:rPr>
        <w:fldChar w:fldCharType="begin"/>
      </w:r>
      <w:r>
        <w:rPr>
          <w:noProof/>
          <w:webHidden/>
        </w:rPr>
        <w:instrText xml:space="preserve"> PAGEREF _Toc144196183 \h </w:instrText>
      </w:r>
      <w:r>
        <w:rPr>
          <w:noProof/>
          <w:webHidden/>
        </w:rPr>
        <w:fldChar w:fldCharType="separate"/>
      </w:r>
      <w:r>
        <w:rPr>
          <w:noProof/>
          <w:webHidden/>
        </w:rPr>
        <w:t>46</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"_Toc144196184" </w:instrText>
      </w:r>
      <w:r>
        <w:rPr/>
        <w:fldChar w:fldCharType="separate"/>
      </w:r>
      <w:r>
        <w:rPr>
          <w:rStyle w:val="style85"/>
          <w:noProof/>
        </w:rPr>
        <w:t xml:space="preserve">Table 4.8: </w:t>
      </w:r>
      <w:r>
        <w:rPr>
          <w:rStyle w:val="style85"/>
          <w:rFonts w:eastAsia="Times New Roman"/>
          <w:noProof/>
        </w:rPr>
        <w:t>Parents level of income and what it can do</w:t>
      </w:r>
      <w:r>
        <w:rPr>
          <w:noProof/>
          <w:webHidden/>
        </w:rPr>
        <w:tab/>
      </w:r>
      <w:r>
        <w:rPr>
          <w:noProof/>
          <w:webHidden/>
        </w:rPr>
        <w:fldChar w:fldCharType="begin"/>
      </w:r>
      <w:r>
        <w:rPr>
          <w:noProof/>
          <w:webHidden/>
        </w:rPr>
        <w:instrText xml:space="preserve"> PAGEREF _Toc144196184 \h </w:instrText>
      </w:r>
      <w:r>
        <w:rPr>
          <w:noProof/>
          <w:webHidden/>
        </w:rPr>
        <w:fldChar w:fldCharType="separate"/>
      </w:r>
      <w:r>
        <w:rPr>
          <w:noProof/>
          <w:webHidden/>
        </w:rPr>
        <w:t>47</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"_Toc144196185" </w:instrText>
      </w:r>
      <w:r>
        <w:rPr/>
        <w:fldChar w:fldCharType="separate"/>
      </w:r>
      <w:r>
        <w:rPr>
          <w:rStyle w:val="style85"/>
          <w:noProof/>
        </w:rPr>
        <w:t xml:space="preserve">Table 4.9: Distribution of class teachers by </w:t>
      </w:r>
      <w:r>
        <w:rPr>
          <w:rStyle w:val="style85"/>
          <w:rFonts w:eastAsia="Times New Roman"/>
          <w:noProof/>
        </w:rPr>
        <w:t>years of experience</w:t>
      </w:r>
      <w:r>
        <w:rPr>
          <w:noProof/>
          <w:webHidden/>
        </w:rPr>
        <w:tab/>
      </w:r>
      <w:r>
        <w:rPr>
          <w:noProof/>
          <w:webHidden/>
        </w:rPr>
        <w:fldChar w:fldCharType="begin"/>
      </w:r>
      <w:r>
        <w:rPr>
          <w:noProof/>
          <w:webHidden/>
        </w:rPr>
        <w:instrText xml:space="preserve"> PAGEREF _Toc144196185 \h </w:instrText>
      </w:r>
      <w:r>
        <w:rPr>
          <w:noProof/>
          <w:webHidden/>
        </w:rPr>
        <w:fldChar w:fldCharType="separate"/>
      </w:r>
      <w:r>
        <w:rPr>
          <w:noProof/>
          <w:webHidden/>
        </w:rPr>
        <w:t>49</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"_Toc144196186" </w:instrText>
      </w:r>
      <w:r>
        <w:rPr/>
        <w:fldChar w:fldCharType="separate"/>
      </w:r>
      <w:r>
        <w:rPr>
          <w:rStyle w:val="style85"/>
          <w:noProof/>
        </w:rPr>
        <w:t>Table 4.10: Distribution of class teachers by roles</w:t>
      </w:r>
      <w:r>
        <w:rPr>
          <w:noProof/>
          <w:webHidden/>
        </w:rPr>
        <w:tab/>
      </w:r>
      <w:r>
        <w:rPr>
          <w:noProof/>
          <w:webHidden/>
        </w:rPr>
        <w:fldChar w:fldCharType="begin"/>
      </w:r>
      <w:r>
        <w:rPr>
          <w:noProof/>
          <w:webHidden/>
        </w:rPr>
        <w:instrText xml:space="preserve"> PAGEREF _Toc144196186 \h </w:instrText>
      </w:r>
      <w:r>
        <w:rPr>
          <w:noProof/>
          <w:webHidden/>
        </w:rPr>
        <w:fldChar w:fldCharType="separate"/>
      </w:r>
      <w:r>
        <w:rPr>
          <w:noProof/>
          <w:webHidden/>
        </w:rPr>
        <w:t>50</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"_Toc144196187" </w:instrText>
      </w:r>
      <w:r>
        <w:rPr/>
        <w:fldChar w:fldCharType="separate"/>
      </w:r>
      <w:r>
        <w:rPr>
          <w:rStyle w:val="style85"/>
          <w:noProof/>
          <w:shd w:val="clear" w:color="auto" w:fill="ffffff"/>
        </w:rPr>
        <w:t>Table 4.1</w:t>
      </w:r>
      <w:r>
        <w:rPr>
          <w:rStyle w:val="style85"/>
          <w:noProof/>
          <w:shd w:val="clear" w:color="auto" w:fill="ffffff"/>
        </w:rPr>
        <w:t>1</w:t>
      </w:r>
      <w:r>
        <w:rPr>
          <w:rStyle w:val="style85"/>
          <w:noProof/>
          <w:shd w:val="clear" w:color="auto" w:fill="ffffff"/>
        </w:rPr>
        <w:t>: P</w:t>
      </w:r>
      <w:r>
        <w:rPr>
          <w:rStyle w:val="style85"/>
          <w:noProof/>
          <w:shd w:val="clear" w:color="auto" w:fill="ffffff"/>
        </w:rPr>
        <w:t>u</w:t>
      </w:r>
      <w:r>
        <w:rPr>
          <w:rStyle w:val="style85"/>
          <w:noProof/>
          <w:shd w:val="clear" w:color="auto" w:fill="ffffff"/>
        </w:rPr>
        <w:t>pils’ Academic Achievement of Public Primary Schools</w:t>
      </w:r>
      <w:r>
        <w:rPr>
          <w:noProof/>
          <w:webHidden/>
        </w:rPr>
        <w:tab/>
      </w:r>
      <w:r>
        <w:rPr>
          <w:noProof/>
          <w:webHidden/>
        </w:rPr>
        <w:fldChar w:fldCharType="begin"/>
      </w:r>
      <w:r>
        <w:rPr>
          <w:noProof/>
          <w:webHidden/>
        </w:rPr>
        <w:instrText xml:space="preserve"> PAGEREF _Toc144196187 \h </w:instrText>
      </w:r>
      <w:r>
        <w:rPr>
          <w:noProof/>
          <w:webHidden/>
        </w:rPr>
        <w:fldChar w:fldCharType="separate"/>
      </w:r>
      <w:r>
        <w:rPr>
          <w:noProof/>
          <w:webHidden/>
        </w:rPr>
        <w:t>51</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"_Toc144196188" </w:instrText>
      </w:r>
      <w:r>
        <w:rPr/>
        <w:fldChar w:fldCharType="separate"/>
      </w:r>
      <w:r>
        <w:rPr>
          <w:rStyle w:val="style85"/>
          <w:noProof/>
        </w:rPr>
        <w:t xml:space="preserve">Table 4.12: Cross tabulation of household income level and pupils’ </w:t>
      </w:r>
      <w:r>
        <w:rPr>
          <w:rStyle w:val="style85"/>
          <w:noProof/>
          <w:shd w:val="clear" w:color="auto" w:fill="ffffff"/>
        </w:rPr>
        <w:t>academic achievement of primary schools</w:t>
      </w:r>
      <w:r>
        <w:rPr>
          <w:noProof/>
          <w:webHidden/>
        </w:rPr>
        <w:tab/>
      </w:r>
      <w:r>
        <w:rPr>
          <w:noProof/>
          <w:webHidden/>
        </w:rPr>
        <w:fldChar w:fldCharType="begin"/>
      </w:r>
      <w:r>
        <w:rPr>
          <w:noProof/>
          <w:webHidden/>
        </w:rPr>
        <w:instrText xml:space="preserve"> PAGEREF _Toc144196188 \h </w:instrText>
      </w:r>
      <w:r>
        <w:rPr>
          <w:noProof/>
          <w:webHidden/>
        </w:rPr>
        <w:fldChar w:fldCharType="separate"/>
      </w:r>
      <w:r>
        <w:rPr>
          <w:noProof/>
          <w:webHidden/>
        </w:rPr>
        <w:t>53</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"_Toc144196189" </w:instrText>
      </w:r>
      <w:r>
        <w:rPr/>
        <w:fldChar w:fldCharType="separate"/>
      </w:r>
      <w:r>
        <w:rPr>
          <w:rStyle w:val="style85"/>
          <w:noProof/>
        </w:rPr>
        <w:t xml:space="preserve">Table 4.13: Cross tabulation of household family size and pupils’ </w:t>
      </w:r>
      <w:r>
        <w:rPr>
          <w:rStyle w:val="style85"/>
          <w:noProof/>
          <w:shd w:val="clear" w:color="auto" w:fill="ffffff"/>
        </w:rPr>
        <w:t>academic achievement of primary schools</w:t>
      </w:r>
      <w:r>
        <w:rPr>
          <w:noProof/>
          <w:webHidden/>
        </w:rPr>
        <w:tab/>
      </w:r>
      <w:r>
        <w:rPr>
          <w:noProof/>
          <w:webHidden/>
        </w:rPr>
        <w:fldChar w:fldCharType="begin"/>
      </w:r>
      <w:r>
        <w:rPr>
          <w:noProof/>
          <w:webHidden/>
        </w:rPr>
        <w:instrText xml:space="preserve"> PAGEREF _Toc144196189 \h </w:instrText>
      </w:r>
      <w:r>
        <w:rPr>
          <w:noProof/>
          <w:webHidden/>
        </w:rPr>
        <w:fldChar w:fldCharType="separate"/>
      </w:r>
      <w:r>
        <w:rPr>
          <w:noProof/>
          <w:webHidden/>
        </w:rPr>
        <w:t>55</w:t>
      </w:r>
      <w:r>
        <w:rPr>
          <w:noProof/>
          <w:webHidden/>
        </w:rPr>
        <w:fldChar w:fldCharType="end"/>
      </w:r>
      <w:r>
        <w:rPr/>
        <w:fldChar w:fldCharType="end"/>
      </w:r>
    </w:p>
    <w:p>
      <w:pPr>
        <w:pStyle w:val="style35"/>
        <w:rPr>
          <w:rFonts w:ascii="Calibri" w:cs="宋体" w:eastAsia="宋体" w:hAnsi="Calibri"/>
          <w:noProof/>
          <w:kern w:val="2"/>
          <w:sz w:val="22"/>
          <w14:ligatures xmlns:w14="http://schemas.microsoft.com/office/word/2010/wordml" w14:val="standardContextual"/>
        </w:rPr>
      </w:pPr>
      <w:r>
        <w:rPr/>
        <w:fldChar w:fldCharType="begin"/>
      </w:r>
      <w:r>
        <w:instrText xml:space="preserve"> HYPERLINK \l "_Toc144196190" </w:instrText>
      </w:r>
      <w:r>
        <w:rPr/>
        <w:fldChar w:fldCharType="separate"/>
      </w:r>
      <w:r>
        <w:rPr>
          <w:rStyle w:val="style85"/>
          <w:noProof/>
        </w:rPr>
        <w:t xml:space="preserve">Table 4.14: Cross tabulation of parents’ level of education and pupils’ </w:t>
      </w:r>
      <w:r>
        <w:rPr>
          <w:rStyle w:val="style85"/>
          <w:noProof/>
          <w:shd w:val="clear" w:color="auto" w:fill="ffffff"/>
        </w:rPr>
        <w:t>academic achievement</w:t>
      </w:r>
      <w:r>
        <w:rPr>
          <w:noProof/>
          <w:webHidden/>
        </w:rPr>
        <w:tab/>
      </w:r>
      <w:r>
        <w:rPr>
          <w:noProof/>
          <w:webHidden/>
        </w:rPr>
        <w:fldChar w:fldCharType="begin"/>
      </w:r>
      <w:r>
        <w:rPr>
          <w:noProof/>
          <w:webHidden/>
        </w:rPr>
        <w:instrText xml:space="preserve"> PAGEREF _Toc144196190 \h </w:instrText>
      </w:r>
      <w:r>
        <w:rPr>
          <w:noProof/>
          <w:webHidden/>
        </w:rPr>
        <w:fldChar w:fldCharType="separate"/>
      </w:r>
      <w:r>
        <w:rPr>
          <w:noProof/>
          <w:webHidden/>
        </w:rPr>
        <w:t>58</w:t>
      </w:r>
      <w:r>
        <w:rPr>
          <w:noProof/>
          <w:webHidden/>
        </w:rPr>
        <w:fldChar w:fldCharType="end"/>
      </w:r>
      <w:r>
        <w:rPr/>
        <w:fldChar w:fldCharType="end"/>
      </w:r>
    </w:p>
    <w:p>
      <w:pPr>
        <w:pStyle w:val="style35"/>
        <w:rPr/>
      </w:pPr>
      <w:r>
        <w:rPr/>
        <w:fldChar w:fldCharType="end"/>
      </w:r>
    </w:p>
    <w:p>
      <w:pPr>
        <w:pStyle w:val="style0"/>
        <w:rPr/>
      </w:pPr>
    </w:p>
    <w:p>
      <w:pPr>
        <w:pStyle w:val="style0"/>
        <w:rPr/>
      </w:pPr>
    </w:p>
    <w:p>
      <w:pPr>
        <w:pStyle w:val="style0"/>
        <w:rPr/>
      </w:pPr>
    </w:p>
    <w:p>
      <w:pPr>
        <w:pStyle w:val="style0"/>
        <w:rPr/>
      </w:pPr>
    </w:p>
    <w:p>
      <w:pPr>
        <w:pStyle w:val="style0"/>
        <w:rPr/>
      </w:pPr>
    </w:p>
    <w:p>
      <w:pPr>
        <w:pStyle w:val="style0"/>
        <w:rPr/>
      </w:pPr>
    </w:p>
    <w:bookmarkStart w:id="7" w:name="_Toc520134459"/>
    <w:bookmarkStart w:id="8" w:name="_Toc144283164"/>
    <w:p>
      <w:pPr>
        <w:pStyle w:val="style1"/>
        <w:spacing w:lineRule="auto" w:line="480"/>
        <w:rPr>
          <w:rFonts w:cs="Times New Roman"/>
          <w:szCs w:val="24"/>
        </w:rPr>
      </w:pPr>
      <w:r>
        <w:rPr>
          <w:rFonts w:cs="Times New Roman"/>
          <w:szCs w:val="24"/>
        </w:rPr>
        <w:t>LIST OF FIGURES</w:t>
      </w:r>
      <w:bookmarkEnd w:id="7"/>
      <w:bookmarkEnd w:id="8"/>
    </w:p>
    <w:p>
      <w:pPr>
        <w:pStyle w:val="style35"/>
        <w:rPr>
          <w:noProof/>
        </w:rPr>
      </w:pPr>
      <w:r>
        <w:rPr>
          <w:szCs w:val="24"/>
        </w:rPr>
        <w:fldChar w:fldCharType="begin"/>
      </w:r>
      <w:r>
        <w:rPr>
          <w:szCs w:val="24"/>
        </w:rPr>
        <w:instrText xml:space="preserve"> TOC \h \z \t "Heading 5" \c </w:instrText>
      </w:r>
      <w:r>
        <w:rPr>
          <w:szCs w:val="24"/>
        </w:rPr>
        <w:fldChar w:fldCharType="separate"/>
      </w:r>
      <w:r>
        <w:rPr/>
        <w:fldChar w:fldCharType="begin"/>
      </w:r>
      <w:r>
        <w:instrText xml:space="preserve"> HYPERLINK \l "_Toc143796442" </w:instrText>
      </w:r>
      <w:r>
        <w:rPr/>
        <w:fldChar w:fldCharType="separate"/>
      </w:r>
      <w:r>
        <w:rPr>
          <w:rStyle w:val="style85"/>
          <w:noProof/>
        </w:rPr>
        <w:t>Figure 2.1: Conceptual framework</w:t>
      </w:r>
      <w:r>
        <w:rPr>
          <w:noProof/>
          <w:webHidden/>
        </w:rPr>
        <w:tab/>
      </w:r>
      <w:r>
        <w:rPr>
          <w:noProof/>
          <w:webHidden/>
        </w:rPr>
        <w:fldChar w:fldCharType="begin"/>
      </w:r>
      <w:r>
        <w:rPr>
          <w:noProof/>
          <w:webHidden/>
        </w:rPr>
        <w:instrText xml:space="preserve"> PAGEREF _Toc143796442 \h </w:instrText>
      </w:r>
      <w:r>
        <w:rPr>
          <w:noProof/>
          <w:webHidden/>
        </w:rPr>
        <w:fldChar w:fldCharType="separate"/>
      </w:r>
      <w:r>
        <w:rPr>
          <w:noProof/>
          <w:webHidden/>
        </w:rPr>
        <w:t>27</w:t>
      </w:r>
      <w:r>
        <w:rPr>
          <w:noProof/>
          <w:webHidden/>
        </w:rPr>
        <w:fldChar w:fldCharType="end"/>
      </w:r>
      <w:r>
        <w:rPr/>
        <w:fldChar w:fldCharType="end"/>
      </w:r>
    </w:p>
    <w:p>
      <w:pPr>
        <w:pStyle w:val="style0"/>
        <w:spacing w:before="0" w:after="200" w:lineRule="auto" w:line="276"/>
        <w:jc w:val="left"/>
        <w:rPr>
          <w:rFonts w:cs="Times New Roman" w:eastAsia="Calibri"/>
          <w:noProof/>
        </w:rPr>
      </w:pPr>
      <w:r>
        <w:rPr>
          <w:noProof/>
        </w:rPr>
        <w:br w:type="page"/>
      </w:r>
    </w:p>
    <w:bookmarkStart w:id="9" w:name="_Toc144283165"/>
    <w:p>
      <w:pPr>
        <w:pStyle w:val="style1"/>
        <w:rPr>
          <w:noProof/>
        </w:rPr>
      </w:pPr>
      <w:r>
        <w:rPr>
          <w:noProof/>
        </w:rPr>
        <w:t>LIST OF APPENDICES</w:t>
      </w:r>
      <w:bookmarkEnd w:id="9"/>
    </w:p>
    <w:p>
      <w:pPr>
        <w:pStyle w:val="style20"/>
        <w:rPr>
          <w:rFonts w:ascii="Calibri" w:eastAsia="宋体" w:hAnsi="Calibri"/>
          <w:noProof/>
          <w:kern w:val="2"/>
          <w:sz w:val="22"/>
          <w14:ligatures xmlns:w14="http://schemas.microsoft.com/office/word/2010/wordml" w14:val="standardContextual"/>
        </w:rPr>
      </w:pPr>
      <w:r>
        <w:rPr>
          <w:rFonts w:cs="Times New Roman"/>
          <w:szCs w:val="24"/>
        </w:rPr>
        <w:fldChar w:fldCharType="end"/>
      </w:r>
      <w:r>
        <w:rPr/>
        <w:fldChar w:fldCharType="begin"/>
      </w:r>
      <w:r>
        <w:instrText xml:space="preserve"> HYPERLINK \l "_Toc144283222" </w:instrText>
      </w:r>
      <w:r>
        <w:rPr/>
        <w:fldChar w:fldCharType="separate"/>
      </w:r>
      <w:r>
        <w:rPr>
          <w:rStyle w:val="style85"/>
          <w:noProof/>
          <w:color w:val="auto"/>
          <w:u w:val="none"/>
        </w:rPr>
        <w:t>Appendix I: Introduction Letter</w:t>
      </w:r>
      <w:r>
        <w:rPr>
          <w:noProof/>
          <w:webHidden/>
        </w:rPr>
        <w:tab/>
      </w:r>
      <w:r>
        <w:rPr>
          <w:noProof/>
          <w:webHidden/>
        </w:rPr>
        <w:fldChar w:fldCharType="begin"/>
      </w:r>
      <w:r>
        <w:rPr>
          <w:noProof/>
          <w:webHidden/>
        </w:rPr>
        <w:instrText xml:space="preserve"> PAGEREF _Toc144283222 \h </w:instrText>
      </w:r>
      <w:r>
        <w:rPr>
          <w:noProof/>
          <w:webHidden/>
        </w:rPr>
        <w:fldChar w:fldCharType="separate"/>
      </w:r>
      <w:r>
        <w:rPr>
          <w:noProof/>
          <w:webHidden/>
        </w:rPr>
        <w:t>72</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"_Toc144283223" </w:instrText>
      </w:r>
      <w:r>
        <w:rPr/>
        <w:fldChar w:fldCharType="separate"/>
      </w:r>
      <w:r>
        <w:rPr>
          <w:rStyle w:val="style85"/>
          <w:noProof/>
          <w:color w:val="auto"/>
          <w:u w:val="none"/>
        </w:rPr>
        <w:t>Appendix II: Semi-Structured Questionnaire for Parents</w:t>
      </w:r>
      <w:r>
        <w:rPr>
          <w:noProof/>
          <w:webHidden/>
        </w:rPr>
        <w:tab/>
      </w:r>
      <w:r>
        <w:rPr>
          <w:noProof/>
          <w:webHidden/>
        </w:rPr>
        <w:fldChar w:fldCharType="begin"/>
      </w:r>
      <w:r>
        <w:rPr>
          <w:noProof/>
          <w:webHidden/>
        </w:rPr>
        <w:instrText xml:space="preserve"> PAGEREF _Toc144283223 \h </w:instrText>
      </w:r>
      <w:r>
        <w:rPr>
          <w:noProof/>
          <w:webHidden/>
        </w:rPr>
        <w:fldChar w:fldCharType="separate"/>
      </w:r>
      <w:r>
        <w:rPr>
          <w:noProof/>
          <w:webHidden/>
        </w:rPr>
        <w:t>73</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"_Toc144283224" </w:instrText>
      </w:r>
      <w:r>
        <w:rPr/>
        <w:fldChar w:fldCharType="separate"/>
      </w:r>
      <w:r>
        <w:rPr>
          <w:rStyle w:val="style85"/>
          <w:noProof/>
          <w:color w:val="auto"/>
          <w:u w:val="none"/>
        </w:rPr>
        <w:t>Appendix III: Focus Group Discussion for Pupils</w:t>
      </w:r>
      <w:r>
        <w:rPr>
          <w:noProof/>
          <w:webHidden/>
        </w:rPr>
        <w:tab/>
      </w:r>
      <w:r>
        <w:rPr>
          <w:noProof/>
          <w:webHidden/>
        </w:rPr>
        <w:fldChar w:fldCharType="begin"/>
      </w:r>
      <w:r>
        <w:rPr>
          <w:noProof/>
          <w:webHidden/>
        </w:rPr>
        <w:instrText xml:space="preserve"> PAGEREF _Toc144283224 \h </w:instrText>
      </w:r>
      <w:r>
        <w:rPr>
          <w:noProof/>
          <w:webHidden/>
        </w:rPr>
        <w:fldChar w:fldCharType="separate"/>
      </w:r>
      <w:r>
        <w:rPr>
          <w:noProof/>
          <w:webHidden/>
        </w:rPr>
        <w:t>76</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"_Toc144283225" </w:instrText>
      </w:r>
      <w:r>
        <w:rPr/>
        <w:fldChar w:fldCharType="separate"/>
      </w:r>
      <w:r>
        <w:rPr>
          <w:rStyle w:val="style85"/>
          <w:noProof/>
          <w:color w:val="auto"/>
          <w:u w:val="none"/>
        </w:rPr>
        <w:t>Appendix IV: Questionnaire for Class Teachers</w:t>
      </w:r>
      <w:r>
        <w:rPr>
          <w:noProof/>
          <w:webHidden/>
        </w:rPr>
        <w:tab/>
      </w:r>
      <w:r>
        <w:rPr>
          <w:noProof/>
          <w:webHidden/>
        </w:rPr>
        <w:fldChar w:fldCharType="begin"/>
      </w:r>
      <w:r>
        <w:rPr>
          <w:noProof/>
          <w:webHidden/>
        </w:rPr>
        <w:instrText xml:space="preserve"> PAGEREF _Toc144283225 \h </w:instrText>
      </w:r>
      <w:r>
        <w:rPr>
          <w:noProof/>
          <w:webHidden/>
        </w:rPr>
        <w:fldChar w:fldCharType="separate"/>
      </w:r>
      <w:r>
        <w:rPr>
          <w:noProof/>
          <w:webHidden/>
        </w:rPr>
        <w:t>77</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"_Toc144283226" </w:instrText>
      </w:r>
      <w:r>
        <w:rPr/>
        <w:fldChar w:fldCharType="separate"/>
      </w:r>
      <w:r>
        <w:rPr>
          <w:rStyle w:val="style85"/>
          <w:noProof/>
          <w:color w:val="auto"/>
          <w:u w:val="none"/>
        </w:rPr>
        <w:t>Appendix V: Interview Guide Questions for Head Teachers</w:t>
      </w:r>
      <w:r>
        <w:rPr>
          <w:noProof/>
          <w:webHidden/>
        </w:rPr>
        <w:tab/>
      </w:r>
      <w:r>
        <w:rPr>
          <w:noProof/>
          <w:webHidden/>
        </w:rPr>
        <w:fldChar w:fldCharType="begin"/>
      </w:r>
      <w:r>
        <w:rPr>
          <w:noProof/>
          <w:webHidden/>
        </w:rPr>
        <w:instrText xml:space="preserve"> PAGEREF _Toc144283226 \h </w:instrText>
      </w:r>
      <w:r>
        <w:rPr>
          <w:noProof/>
          <w:webHidden/>
        </w:rPr>
        <w:fldChar w:fldCharType="separate"/>
      </w:r>
      <w:r>
        <w:rPr>
          <w:noProof/>
          <w:webHidden/>
        </w:rPr>
        <w:t>79</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"_Toc144283227" </w:instrText>
      </w:r>
      <w:r>
        <w:rPr/>
        <w:fldChar w:fldCharType="separate"/>
      </w:r>
      <w:r>
        <w:rPr>
          <w:rStyle w:val="style85"/>
          <w:noProof/>
          <w:color w:val="auto"/>
          <w:u w:val="none"/>
        </w:rPr>
        <w:t>Appendix VI: Sample Size Determination</w:t>
      </w:r>
      <w:r>
        <w:rPr>
          <w:noProof/>
          <w:webHidden/>
        </w:rPr>
        <w:tab/>
      </w:r>
      <w:r>
        <w:rPr>
          <w:noProof/>
          <w:webHidden/>
        </w:rPr>
        <w:fldChar w:fldCharType="begin"/>
      </w:r>
      <w:r>
        <w:rPr>
          <w:noProof/>
          <w:webHidden/>
        </w:rPr>
        <w:instrText xml:space="preserve"> PAGEREF _Toc144283227 \h </w:instrText>
      </w:r>
      <w:r>
        <w:rPr>
          <w:noProof/>
          <w:webHidden/>
        </w:rPr>
        <w:fldChar w:fldCharType="separate"/>
      </w:r>
      <w:r>
        <w:rPr>
          <w:noProof/>
          <w:webHidden/>
        </w:rPr>
        <w:t>80</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"_Toc144283228" </w:instrText>
      </w:r>
      <w:r>
        <w:rPr/>
        <w:fldChar w:fldCharType="separate"/>
      </w:r>
      <w:r>
        <w:rPr>
          <w:rStyle w:val="style85"/>
          <w:noProof/>
          <w:color w:val="auto"/>
          <w:u w:val="none"/>
        </w:rPr>
        <w:t>Appendix VII: Research permit (NACOSTI)</w:t>
      </w:r>
      <w:r>
        <w:rPr>
          <w:noProof/>
          <w:webHidden/>
        </w:rPr>
        <w:tab/>
      </w:r>
      <w:r>
        <w:rPr>
          <w:noProof/>
          <w:webHidden/>
        </w:rPr>
        <w:fldChar w:fldCharType="begin"/>
      </w:r>
      <w:r>
        <w:rPr>
          <w:noProof/>
          <w:webHidden/>
        </w:rPr>
        <w:instrText xml:space="preserve"> PAGEREF _Toc144283228 \h </w:instrText>
      </w:r>
      <w:r>
        <w:rPr>
          <w:noProof/>
          <w:webHidden/>
        </w:rPr>
        <w:fldChar w:fldCharType="separate"/>
      </w:r>
      <w:r>
        <w:rPr>
          <w:noProof/>
          <w:webHidden/>
        </w:rPr>
        <w:t>81</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"_Toc144283229" </w:instrText>
      </w:r>
      <w:r>
        <w:rPr/>
        <w:fldChar w:fldCharType="separate"/>
      </w:r>
      <w:r>
        <w:rPr>
          <w:rStyle w:val="style85"/>
          <w:noProof/>
          <w:color w:val="auto"/>
          <w:u w:val="none"/>
        </w:rPr>
        <w:t>Appendix VIII: Research Authorization</w:t>
      </w:r>
      <w:r>
        <w:rPr>
          <w:noProof/>
          <w:webHidden/>
        </w:rPr>
        <w:tab/>
      </w:r>
      <w:r>
        <w:rPr>
          <w:noProof/>
          <w:webHidden/>
        </w:rPr>
        <w:fldChar w:fldCharType="begin"/>
      </w:r>
      <w:r>
        <w:rPr>
          <w:noProof/>
          <w:webHidden/>
        </w:rPr>
        <w:instrText xml:space="preserve"> PAGEREF _Toc144283229 \h </w:instrText>
      </w:r>
      <w:r>
        <w:rPr>
          <w:noProof/>
          <w:webHidden/>
        </w:rPr>
        <w:fldChar w:fldCharType="separate"/>
      </w:r>
      <w:r>
        <w:rPr>
          <w:noProof/>
          <w:webHidden/>
        </w:rPr>
        <w:t>82</w:t>
      </w:r>
      <w:r>
        <w:rPr>
          <w:noProof/>
          <w:webHidden/>
        </w:rPr>
        <w:fldChar w:fldCharType="end"/>
      </w:r>
      <w:r>
        <w:rPr/>
        <w:fldChar w:fldCharType="end"/>
      </w:r>
    </w:p>
    <w:p>
      <w:pPr>
        <w:pStyle w:val="style20"/>
        <w:rPr>
          <w:rFonts w:ascii="Calibri" w:eastAsia="宋体" w:hAnsi="Calibri"/>
          <w:noProof/>
          <w:kern w:val="2"/>
          <w:sz w:val="22"/>
          <w14:ligatures xmlns:w14="http://schemas.microsoft.com/office/word/2010/wordml" w14:val="standardContextual"/>
        </w:rPr>
      </w:pPr>
      <w:r>
        <w:rPr/>
        <w:fldChar w:fldCharType="begin"/>
      </w:r>
      <w:r>
        <w:instrText xml:space="preserve"> HYPERLINK \l "_Toc144283230" </w:instrText>
      </w:r>
      <w:r>
        <w:rPr/>
        <w:fldChar w:fldCharType="separate"/>
      </w:r>
      <w:r>
        <w:rPr>
          <w:rStyle w:val="style85"/>
          <w:noProof/>
          <w:color w:val="auto"/>
          <w:u w:val="none"/>
        </w:rPr>
        <w:t>Appendix IX: Approval of Research Proposal</w:t>
      </w:r>
      <w:r>
        <w:rPr>
          <w:noProof/>
          <w:webHidden/>
        </w:rPr>
        <w:tab/>
      </w:r>
      <w:r>
        <w:rPr>
          <w:noProof/>
          <w:webHidden/>
        </w:rPr>
        <w:fldChar w:fldCharType="begin"/>
      </w:r>
      <w:r>
        <w:rPr>
          <w:noProof/>
          <w:webHidden/>
        </w:rPr>
        <w:instrText xml:space="preserve"> PAGEREF _Toc144283230 \h </w:instrText>
      </w:r>
      <w:r>
        <w:rPr>
          <w:noProof/>
          <w:webHidden/>
        </w:rPr>
        <w:fldChar w:fldCharType="separate"/>
      </w:r>
      <w:r>
        <w:rPr>
          <w:noProof/>
          <w:webHidden/>
        </w:rPr>
        <w:t>83</w:t>
      </w:r>
      <w:r>
        <w:rPr>
          <w:noProof/>
          <w:webHidden/>
        </w:rPr>
        <w:fldChar w:fldCharType="end"/>
      </w:r>
      <w:r>
        <w:rPr/>
        <w:fldChar w:fldCharType="end"/>
      </w:r>
    </w:p>
    <w:p>
      <w:pPr>
        <w:pStyle w:val="style20"/>
        <w:rPr>
          <w:noProof/>
        </w:rPr>
      </w:pPr>
      <w:r>
        <w:rPr>
          <w:noProof/>
        </w:rPr>
        <w:t xml:space="preserve"> </w:t>
      </w:r>
    </w:p>
    <w:p>
      <w:pPr>
        <w:pStyle w:val="style20"/>
        <w:rPr/>
      </w:pPr>
      <w:r>
        <w:t xml:space="preserve"> </w:t>
      </w: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bookmarkStart w:id="10" w:name="_Toc520134460"/>
    <w:bookmarkStart w:id="11" w:name="_Toc144283166"/>
    <w:p>
      <w:pPr>
        <w:pStyle w:val="style1"/>
        <w:spacing w:lineRule="auto" w:line="480"/>
        <w:rPr/>
      </w:pPr>
      <w:r>
        <w:t>ABBREVIATIONS AND ACRONYMS</w:t>
      </w:r>
      <w:bookmarkEnd w:id="10"/>
      <w:bookmarkEnd w:id="11"/>
    </w:p>
    <w:p>
      <w:pPr>
        <w:pStyle w:val="style0"/>
        <w:rPr>
          <w:rFonts w:cs="Times New Roman"/>
          <w:szCs w:val="24"/>
        </w:rPr>
      </w:pPr>
      <w:r>
        <w:rPr>
          <w:rFonts w:cs="Times New Roman"/>
          <w:b/>
          <w:szCs w:val="24"/>
        </w:rPr>
        <w:t>CDF:</w:t>
      </w:r>
      <w:r>
        <w:rPr>
          <w:rFonts w:cs="Times New Roman"/>
          <w:b/>
          <w:szCs w:val="24"/>
        </w:rPr>
        <w:tab/>
      </w:r>
      <w:r>
        <w:rPr>
          <w:rFonts w:cs="Times New Roman"/>
          <w:b/>
          <w:szCs w:val="24"/>
        </w:rPr>
        <w:tab/>
      </w:r>
      <w:r>
        <w:rPr>
          <w:rFonts w:cs="Times New Roman"/>
          <w:szCs w:val="24"/>
        </w:rPr>
        <w:t>Constituency development Fund</w:t>
      </w:r>
    </w:p>
    <w:p>
      <w:pPr>
        <w:pStyle w:val="style0"/>
        <w:rPr>
          <w:rFonts w:cs="Times New Roman"/>
          <w:b/>
          <w:szCs w:val="24"/>
        </w:rPr>
      </w:pPr>
      <w:r>
        <w:rPr>
          <w:b/>
          <w:szCs w:val="24"/>
        </w:rPr>
        <w:t>EFL:</w:t>
      </w:r>
      <w:r>
        <w:rPr>
          <w:b/>
          <w:szCs w:val="24"/>
        </w:rPr>
        <w:tab/>
      </w:r>
      <w:r>
        <w:rPr>
          <w:rFonts w:cs="Times New Roman"/>
          <w:b/>
          <w:szCs w:val="24"/>
          <w:lang w:val="en-GB" w:eastAsia="en-GB"/>
        </w:rPr>
        <w:tab/>
      </w:r>
      <w:r>
        <w:t>English as Foreign Language</w:t>
      </w:r>
    </w:p>
    <w:p>
      <w:pPr>
        <w:pStyle w:val="style0"/>
        <w:rPr>
          <w:rFonts w:cs="Times New Roman"/>
          <w:szCs w:val="24"/>
          <w:lang w:val="en-GB" w:eastAsia="en-GB"/>
        </w:rPr>
      </w:pPr>
      <w:r>
        <w:rPr>
          <w:rFonts w:cs="Times New Roman"/>
          <w:b/>
          <w:szCs w:val="24"/>
          <w:lang w:val="en-GB" w:eastAsia="en-GB"/>
        </w:rPr>
        <w:t>KCPE:</w:t>
      </w:r>
      <w:r>
        <w:rPr>
          <w:rFonts w:cs="Times New Roman"/>
          <w:szCs w:val="24"/>
          <w:lang w:val="en-GB" w:eastAsia="en-GB"/>
        </w:rPr>
        <w:tab/>
      </w:r>
      <w:r>
        <w:rPr>
          <w:rFonts w:cs="Times New Roman"/>
          <w:szCs w:val="24"/>
        </w:rPr>
        <w:t>Kenya Certificate of Primary Education</w:t>
      </w:r>
    </w:p>
    <w:p>
      <w:pPr>
        <w:pStyle w:val="style0"/>
        <w:rPr>
          <w:rFonts w:cs="Times New Roman"/>
          <w:szCs w:val="24"/>
          <w:lang w:val="en-GB" w:eastAsia="en-GB"/>
        </w:rPr>
      </w:pPr>
      <w:r>
        <w:rPr>
          <w:rFonts w:cs="Times New Roman"/>
          <w:b/>
          <w:szCs w:val="24"/>
        </w:rPr>
        <w:t>NACOSTI:</w:t>
      </w:r>
      <w:r>
        <w:rPr>
          <w:rFonts w:cs="Times New Roman"/>
          <w:b/>
          <w:szCs w:val="24"/>
        </w:rPr>
        <w:tab/>
      </w:r>
      <w:r>
        <w:rPr>
          <w:rFonts w:cs="Times New Roman"/>
          <w:szCs w:val="24"/>
        </w:rPr>
        <w:t>National Commission of Science Technology and Innovation</w:t>
      </w:r>
    </w:p>
    <w:p>
      <w:pPr>
        <w:pStyle w:val="style0"/>
        <w:rPr>
          <w:rFonts w:cs="Times New Roman"/>
          <w:b/>
          <w:szCs w:val="24"/>
        </w:rPr>
      </w:pPr>
      <w:r>
        <w:rPr>
          <w:b/>
          <w:szCs w:val="24"/>
        </w:rPr>
        <w:t>NCE:</w:t>
      </w:r>
      <w:r>
        <w:rPr>
          <w:b/>
          <w:szCs w:val="24"/>
        </w:rPr>
        <w:tab/>
      </w:r>
      <w:r>
        <w:rPr>
          <w:rFonts w:cs="Times New Roman"/>
          <w:b/>
          <w:szCs w:val="24"/>
          <w:lang w:val="en-GB" w:eastAsia="en-GB"/>
        </w:rPr>
        <w:tab/>
      </w:r>
      <w:r>
        <w:t>National Certificate Education</w:t>
      </w:r>
    </w:p>
    <w:p>
      <w:pPr>
        <w:pStyle w:val="style0"/>
        <w:rPr>
          <w:rFonts w:cs="Times New Roman"/>
          <w:b/>
          <w:szCs w:val="24"/>
        </w:rPr>
      </w:pPr>
      <w:r>
        <w:rPr>
          <w:b/>
          <w:szCs w:val="24"/>
        </w:rPr>
        <w:t>PLE:</w:t>
      </w:r>
      <w:r>
        <w:rPr>
          <w:b/>
          <w:szCs w:val="24"/>
        </w:rPr>
        <w:tab/>
      </w:r>
      <w:r>
        <w:rPr>
          <w:rFonts w:cs="Times New Roman"/>
          <w:b/>
          <w:szCs w:val="24"/>
          <w:lang w:val="en-GB" w:eastAsia="en-GB"/>
        </w:rPr>
        <w:tab/>
      </w:r>
      <w:r>
        <w:t>Primary Leaving Examination</w:t>
      </w:r>
    </w:p>
    <w:p>
      <w:pPr>
        <w:pStyle w:val="style0"/>
        <w:rPr>
          <w:rFonts w:cs="Times New Roman"/>
          <w:szCs w:val="24"/>
          <w:lang w:val="en-GB" w:eastAsia="en-GB"/>
        </w:rPr>
      </w:pPr>
      <w:r>
        <w:rPr>
          <w:b/>
          <w:szCs w:val="24"/>
        </w:rPr>
        <w:t>SES:</w:t>
      </w:r>
      <w:r>
        <w:rPr>
          <w:b/>
          <w:szCs w:val="24"/>
        </w:rPr>
        <w:tab/>
      </w:r>
      <w:r>
        <w:rPr>
          <w:b/>
          <w:szCs w:val="24"/>
        </w:rPr>
        <w:tab/>
      </w:r>
      <w:r>
        <w:rPr>
          <w:szCs w:val="24"/>
        </w:rPr>
        <w:t>Socio-Economic Status</w:t>
      </w:r>
    </w:p>
    <w:p>
      <w:pPr>
        <w:pStyle w:val="style0"/>
        <w:rPr>
          <w:rFonts w:cs="Times New Roman"/>
          <w:szCs w:val="24"/>
        </w:rPr>
      </w:pPr>
      <w:r>
        <w:rPr>
          <w:rFonts w:cs="Times New Roman"/>
          <w:b/>
          <w:szCs w:val="24"/>
        </w:rPr>
        <w:t>SPSS:</w:t>
      </w:r>
      <w:r>
        <w:rPr>
          <w:rFonts w:cs="Times New Roman"/>
          <w:b/>
          <w:szCs w:val="24"/>
        </w:rPr>
        <w:tab/>
      </w:r>
      <w:r>
        <w:rPr>
          <w:rFonts w:cs="Times New Roman"/>
          <w:b/>
          <w:szCs w:val="24"/>
        </w:rPr>
        <w:tab/>
      </w:r>
      <w:r>
        <w:rPr>
          <w:rFonts w:cs="Times New Roman"/>
          <w:szCs w:val="24"/>
        </w:rPr>
        <w:t>Statistical Package for Social Sciences</w:t>
      </w:r>
    </w:p>
    <w:p>
      <w:pPr>
        <w:pStyle w:val="style0"/>
        <w:rPr>
          <w:rFonts w:cs="Times New Roman"/>
          <w:color w:val="222222"/>
          <w:szCs w:val="24"/>
          <w:shd w:val="clear" w:color="auto" w:fill="ffffff"/>
        </w:rPr>
      </w:pPr>
      <w:r>
        <w:rPr>
          <w:b/>
          <w:szCs w:val="24"/>
        </w:rPr>
        <w:t>UNESCO:</w:t>
      </w:r>
      <w:r>
        <w:rPr>
          <w:rFonts w:cs="Times New Roman"/>
          <w:b/>
          <w:szCs w:val="24"/>
          <w:lang w:val="en-GB" w:eastAsia="en-GB"/>
        </w:rPr>
        <w:tab/>
      </w:r>
      <w:r>
        <w:rPr>
          <w:rFonts w:cs="Times New Roman"/>
          <w:color w:val="222222"/>
          <w:szCs w:val="24"/>
          <w:shd w:val="clear" w:color="auto" w:fill="ffffff"/>
        </w:rPr>
        <w:t>United Nations Educational, Scientific and Cultural Organization</w:t>
      </w: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bookmarkStart w:id="12" w:name="_Toc144283167"/>
    <w:p>
      <w:pPr>
        <w:pStyle w:val="style1"/>
        <w:spacing w:lineRule="auto" w:line="480"/>
        <w:rPr/>
      </w:pPr>
      <w:r>
        <w:t>DEFINITION OF TERMS</w:t>
      </w:r>
      <w:bookmarkEnd w:id="12"/>
    </w:p>
    <w:p>
      <w:pPr>
        <w:pStyle w:val="style0"/>
        <w:ind w:left="2736" w:hanging="2736"/>
        <w:rPr/>
      </w:pPr>
      <w:r>
        <w:rPr>
          <w:b/>
          <w:bCs/>
        </w:rPr>
        <w:t>Academic achievement</w:t>
      </w:r>
      <w:r>
        <w:t xml:space="preserve">: Academic achievement refers to the level of success that a student achieves in their academic studies. It is often measured by standardized test scores, grades, and other indicators of </w:t>
      </w:r>
      <w:r>
        <w:t>academic achievement</w:t>
      </w:r>
      <w:r>
        <w:t>.</w:t>
      </w:r>
    </w:p>
    <w:p>
      <w:pPr>
        <w:pStyle w:val="style0"/>
        <w:ind w:left="2736" w:hanging="2736"/>
        <w:rPr/>
      </w:pPr>
      <w:r>
        <w:rPr>
          <w:b/>
        </w:rPr>
        <w:t>Economic factors:</w:t>
      </w:r>
      <w:r>
        <w:t xml:space="preserve">  </w:t>
      </w:r>
      <w:r>
        <w:tab/>
      </w:r>
      <w:r>
        <w:t>These are factors related to financial constraints and means of soliciting funds for regular use.</w:t>
      </w:r>
    </w:p>
    <w:p>
      <w:pPr>
        <w:pStyle w:val="style0"/>
        <w:ind w:left="2736" w:hanging="2736"/>
        <w:rPr/>
      </w:pPr>
      <w:r>
        <w:rPr>
          <w:b/>
        </w:rPr>
        <w:t>Family Size:</w:t>
      </w:r>
      <w:r>
        <w:tab/>
      </w:r>
      <w:r>
        <w:t xml:space="preserve">This refers to the number of children in the family including siblings, twins, adopted children and other dependents. </w:t>
      </w:r>
    </w:p>
    <w:p>
      <w:pPr>
        <w:pStyle w:val="style0"/>
        <w:ind w:left="2736" w:hanging="2736"/>
        <w:rPr/>
      </w:pPr>
      <w:r>
        <w:rPr>
          <w:b/>
        </w:rPr>
        <w:t>Income levels:</w:t>
      </w:r>
      <w:r>
        <w:tab/>
      </w:r>
      <w:r>
        <w:t>Income refers to consumption opportunities gained by an entity within a specific time frame which is generally expressed in monetary terms. In this study it refers to household and individual income a level which is the sum of all the wages, salaries, profits, interest payments, rents and other forms of earnings received in a year.</w:t>
      </w:r>
    </w:p>
    <w:p>
      <w:pPr>
        <w:pStyle w:val="style0"/>
        <w:ind w:left="2736" w:hanging="2736"/>
        <w:rPr/>
      </w:pPr>
      <w:r>
        <w:rPr>
          <w:b/>
        </w:rPr>
        <w:t xml:space="preserve">Socio-economic activities: </w:t>
      </w:r>
      <w:r>
        <w:t>Refer to activities engaged by community for their self-reliance from basic needs up to secondary needs.</w:t>
      </w:r>
    </w:p>
    <w:p>
      <w:pPr>
        <w:pStyle w:val="style0"/>
        <w:ind w:left="2736" w:hanging="2736"/>
        <w:rPr/>
      </w:pPr>
      <w:r>
        <w:rPr>
          <w:b/>
          <w:bCs/>
        </w:rPr>
        <w:t xml:space="preserve">Socioeconomic: </w:t>
      </w:r>
      <w:r>
        <w:t>Socioeconomic refers to the social and economic status of an individual or group. It is often measured by factors such as income, education, and occupation.</w:t>
      </w:r>
    </w:p>
    <w:p>
      <w:pPr>
        <w:pStyle w:val="style0"/>
        <w:rPr/>
      </w:pPr>
    </w:p>
    <w:p>
      <w:pPr>
        <w:pStyle w:val="style0"/>
        <w:spacing w:before="0" w:after="200" w:lineRule="auto" w:line="276"/>
        <w:jc w:val="left"/>
        <w:rPr>
          <w:rFonts w:cs="宋体" w:eastAsia="宋体"/>
          <w:b/>
          <w:bCs/>
          <w:szCs w:val="28"/>
        </w:rPr>
      </w:pPr>
      <w:r>
        <w:br w:type="page"/>
      </w:r>
    </w:p>
    <w:bookmarkStart w:id="13" w:name="_Toc144283168"/>
    <w:p>
      <w:pPr>
        <w:pStyle w:val="style1"/>
        <w:spacing w:lineRule="auto" w:line="480"/>
        <w:rPr/>
      </w:pPr>
      <w:r>
        <w:t>ABSTRACT</w:t>
      </w:r>
      <w:bookmarkEnd w:id="13"/>
    </w:p>
    <w:p>
      <w:pPr>
        <w:pStyle w:val="style0"/>
        <w:spacing w:lineRule="auto" w:line="240"/>
        <w:rPr/>
      </w:pPr>
      <w:r>
        <w:t xml:space="preserve">There has been a persistent trend of underachievement of students in Karaba Zone compared to the broader </w:t>
      </w:r>
      <w:r>
        <w:t>Mbeere</w:t>
      </w:r>
      <w:r>
        <w:t xml:space="preserve"> South Sub-County.</w:t>
      </w:r>
      <w:r>
        <w:t xml:space="preserve"> </w:t>
      </w:r>
      <w:r>
        <w:t xml:space="preserve">Thus, the study examined </w:t>
      </w:r>
      <w:r>
        <w:t xml:space="preserve">the relationship between socioeconomic factors and pupils' academic achievement in public primary schools in Karaba Zone, </w:t>
      </w:r>
      <w:r>
        <w:t>Mbeere</w:t>
      </w:r>
      <w:r>
        <w:t xml:space="preserve"> South Sub-County, Kenya. The study's specific objectives were to establish a relationship between a household's income level, family size, and parents' education level and pupils' academic achievement in primary schools in Karaba Zone, </w:t>
      </w:r>
      <w:r>
        <w:t>Mbeere</w:t>
      </w:r>
      <w:r>
        <w:t xml:space="preserve"> South Sub-County. The geographical scope included Karaba Zone and </w:t>
      </w:r>
      <w:r>
        <w:t>Mbeere</w:t>
      </w:r>
      <w:r>
        <w:t xml:space="preserve"> South Sub-County.</w:t>
      </w:r>
      <w:r>
        <w:t xml:space="preserve"> The study was anchored on </w:t>
      </w:r>
      <w:r>
        <w:t>Walberg's Educational Productivity Theory.</w:t>
      </w:r>
      <w:r>
        <w:t xml:space="preserve"> The study used a correlational research design to explore the relationships among socioeconomic factors and academic achievement. The target population for the study was the 14 primary schools within Karaba Zone, </w:t>
      </w:r>
      <w:r>
        <w:t>Mbeere</w:t>
      </w:r>
      <w:r>
        <w:t xml:space="preserve"> South Sub-County, Kenya. The study used a combination of purposive sampling and stratified random sampling to select a representative sample of participants. The study used two sets of questionnaires, one for parents and one for teachers. In addition, headteachers were interviewed by an interview guide. Focus group discussions were also conducted with students. The validity and reliability of the research instruments were established through a pilot study. Data was collected through self-administered questionnaires, interviews, and FGDs. Data was analyzed using descriptive statistics and inferential statistics. The study found there is a significant relationship between household income level and pupils' academic achievement in primary schools. Pupils from households with higher incomes tend to have higher academic achievement than pupils from households with lower incomes. In addition, there is a significant relationship between household family size and pupils' academic achievement in primary schools. Pupils from smaller households tend to have higher academic achievement than pupils from larger households. In addition, it was found there is a significant relationship between parents' level of education and pupils' academic achievement in primary schools. Pupils whose parents have higher levels of education tend to have higher academic achievement than pupils whose parents have lower levels of education. In conclusion, there is a significant relationship between household income, family size, and parents' educational level on pupils' academic achievement. Pupils from families with higher incomes, smaller families, and parents with higher educational levels tend to have higher academic achievement. The study recommends that the Embu County Ministry of Education should establish an educational intervention policy to support children from low-income households. The study also recommends initiating sensitization campaigns and family planning educational programs within Karaba Zone. Additionally, the study recommends for the government and educational stakeholders to implement policies that promote universal access to basic education.</w:t>
      </w:r>
      <w:r>
        <w:t xml:space="preserve"> </w:t>
      </w:r>
      <w:r>
        <w:t>The study suggests that future research should focus on a variety of aspects of academic achievement, such as students' intelligence quotients and cognitive abilities, teachers' morale and teaching quality, the impact of academic facilities and learning environments, the efficacy of government support and educational policies, and the role of school management leadership. The findings of this study are significant for various stakeholders in the educational sector, including teachers, school administrators, parents, policymakers and researchers. The study's findings can help to improve academic achievement in primary schools by informing the development of effective educational reforms and policies that target socioeconomic factors.</w:t>
      </w:r>
    </w:p>
    <w:p>
      <w:pPr>
        <w:pStyle w:val="style0"/>
        <w:spacing w:lineRule="auto" w:line="240"/>
        <w:rPr/>
      </w:pPr>
    </w:p>
    <w:p>
      <w:pPr>
        <w:pStyle w:val="style0"/>
        <w:rPr/>
        <w:sectPr>
          <w:headerReference w:type="default" r:id="rId2"/>
          <w:footerReference w:type="default" r:id="rId3"/>
          <w:headerReference w:type="first" r:id="rId4"/>
          <w:pgSz w:w="11907" w:h="16839" w:orient="portrait" w:code="9"/>
          <w:pgMar w:top="810" w:right="1440" w:bottom="1440" w:left="1440" w:header="720" w:footer="720" w:gutter="0"/>
          <w:pgNumType w:fmt="lowerRoman" w:start="1"/>
          <w:cols w:space="720"/>
          <w:titlePg/>
          <w:docGrid w:linePitch="360"/>
        </w:sectPr>
      </w:pPr>
    </w:p>
    <w:bookmarkStart w:id="14" w:name="_Toc144283169"/>
    <w:p>
      <w:pPr>
        <w:pStyle w:val="style1"/>
        <w:spacing w:lineRule="auto" w:line="480"/>
        <w:rPr/>
      </w:pPr>
      <w:r>
        <w:t>CHAPTER ONE</w:t>
      </w:r>
      <w:bookmarkEnd w:id="14"/>
    </w:p>
    <w:bookmarkStart w:id="15" w:name="_Toc144283170"/>
    <w:p>
      <w:pPr>
        <w:pStyle w:val="style1"/>
        <w:spacing w:lineRule="auto" w:line="480"/>
        <w:rPr/>
      </w:pPr>
      <w:r>
        <w:t>INTRODUCTION</w:t>
      </w:r>
      <w:bookmarkEnd w:id="15"/>
    </w:p>
    <w:bookmarkStart w:id="16" w:name="_Toc144283171"/>
    <w:p>
      <w:pPr>
        <w:pStyle w:val="style2"/>
        <w:numPr>
          <w:ilvl w:val="1"/>
          <w:numId w:val="1"/>
        </w:numPr>
        <w:rPr/>
      </w:pPr>
      <w:r>
        <w:t>B</w:t>
      </w:r>
      <w:r>
        <w:t>ackground</w:t>
      </w:r>
      <w:r>
        <w:t xml:space="preserve"> to the study</w:t>
      </w:r>
      <w:bookmarkEnd w:id="16"/>
    </w:p>
    <w:p>
      <w:pPr>
        <w:pStyle w:val="style0"/>
        <w:rPr/>
      </w:pPr>
      <w:r>
        <w:t>Primary education is a critical foundation for academic success (UNESCO, 20</w:t>
      </w:r>
      <w:r>
        <w:t>21</w:t>
      </w:r>
      <w:r>
        <w:t>). Performance is the defining feature of an academic system. Thus, undermining educational quality has an impact on educational performance (</w:t>
      </w:r>
      <w:r>
        <w:t xml:space="preserve">Finch &amp; Finch, 2022). </w:t>
      </w:r>
      <w:r>
        <w:t xml:space="preserve">Developing a nation's people's knowledge and skills is one of the prerequisites for its educational growth. A learning institution's educational performance is critical in achieving educational goals. According to </w:t>
      </w:r>
      <w:r>
        <w:t xml:space="preserve">Aga (2022), </w:t>
      </w:r>
      <w:r>
        <w:t xml:space="preserve">academic achievement </w:t>
      </w:r>
      <w:r>
        <w:t>determines learners' access to secondary and tertiary education as well as their perceptions of themselves and society. Education produces an informed workforce and well-adjusted citizens capable of competing and cooperating in a global setting to achieve superior socioeconomic development (</w:t>
      </w:r>
      <w:r>
        <w:t>Murong’a</w:t>
      </w:r>
      <w:r>
        <w:t xml:space="preserve">, </w:t>
      </w:r>
      <w:r>
        <w:t>Mwoma</w:t>
      </w:r>
      <w:r>
        <w:t xml:space="preserve"> &amp; Ouko, 2020)</w:t>
      </w:r>
      <w:r>
        <w:t xml:space="preserve">. </w:t>
      </w:r>
    </w:p>
    <w:p>
      <w:pPr>
        <w:pStyle w:val="style0"/>
        <w:rPr/>
      </w:pPr>
      <w:r>
        <w:t xml:space="preserve">However, various socioeconomic factors influence </w:t>
      </w:r>
      <w:r>
        <w:t>academic achievement</w:t>
      </w:r>
      <w:r>
        <w:t xml:space="preserve">. The social and economic influences that shape a person's life, behavior, and opportunities are referred to as socioeconomic factors (Castro et al., </w:t>
      </w:r>
      <w:r>
        <w:t>2021</w:t>
      </w:r>
      <w:r>
        <w:t xml:space="preserve">). Income, education, occupation, social class, and overall financial stability are examples of such factors. They contribute to the formation of an individual's socioeconomic status (SES), which can have a significant impact on many aspects of life, including health, education, and access to resources and opportunities (Usman, Mukhtar, &amp; Auwal, </w:t>
      </w:r>
      <w:r>
        <w:t>2021</w:t>
      </w:r>
      <w:r>
        <w:t>). Because socioeconomic factors are frequently interconnected and can have a cumulative effect, they are an important consideration in policy-making and social studies in order to understand and address inequalities and disparities within a population (</w:t>
      </w:r>
      <w:r>
        <w:t>Nyakan</w:t>
      </w:r>
      <w:r>
        <w:t xml:space="preserve"> &amp; Yambo, </w:t>
      </w:r>
      <w:r>
        <w:t>2021</w:t>
      </w:r>
      <w:r>
        <w:t xml:space="preserve">). </w:t>
      </w:r>
    </w:p>
    <w:p>
      <w:pPr>
        <w:pStyle w:val="style0"/>
        <w:rPr/>
      </w:pPr>
      <w:r>
        <w:t xml:space="preserve">Globally, socioeconomic factors have a significant impact on the </w:t>
      </w:r>
      <w:r>
        <w:t>academic achievement</w:t>
      </w:r>
      <w:r>
        <w:t xml:space="preserve"> of Malaysian schoolchildren. Siah, Christina Ong, Tan, Sim, and Xian </w:t>
      </w:r>
      <w:r>
        <w:t>Thoo</w:t>
      </w:r>
      <w:r>
        <w:t xml:space="preserve"> (2018) discovered that the level of education of parents and the availability of reading materials at home influence students' academic achievement. Adequate facilities, adequate teachers, parental support, and a favorable environment, according to Sulaiman et al. (2020), influence students' </w:t>
      </w:r>
      <w:r>
        <w:t>academic achievement</w:t>
      </w:r>
      <w:r>
        <w:t xml:space="preserve"> in Malaysia. In Pakistan, the socio-demographic profile of a family has a significant impact on the </w:t>
      </w:r>
      <w:r>
        <w:t xml:space="preserve">academic achievement of school-aged children (Habibullah &amp; Ashraf, </w:t>
      </w:r>
      <w:r>
        <w:t>2020</w:t>
      </w:r>
      <w:r>
        <w:t>). According to Onzima (</w:t>
      </w:r>
      <w:r>
        <w:t>2020</w:t>
      </w:r>
      <w:r>
        <w:t>), there is a link between a parent's socioeconomic status and their children's educational attainment in Pakistan. According to Akhtar (</w:t>
      </w:r>
      <w:r>
        <w:t>2020</w:t>
      </w:r>
      <w:r>
        <w:t xml:space="preserve">), a mother's education, income, and number of siblings all have a significant impact on academic achievement. </w:t>
      </w:r>
    </w:p>
    <w:p>
      <w:pPr>
        <w:pStyle w:val="style0"/>
        <w:rPr/>
      </w:pPr>
      <w:r>
        <w:t>In Africa, socioeconomic factors are directly related to students' academic achievement in Nigeria. According to Usman, Mukhtar, and Auwal (</w:t>
      </w:r>
      <w:r>
        <w:t>2021</w:t>
      </w:r>
      <w:r>
        <w:t xml:space="preserve">), parent involvement, profession, academic interests, home learning materials, family size, family stability, background, social classification, and socioeconomic status of parents are major factors influencing students' educational achievement. Children from poor, illiterate homes outperform their rich, literate counterparts, according to Ogunsola, </w:t>
      </w:r>
      <w:r>
        <w:t>Osuolale</w:t>
      </w:r>
      <w:r>
        <w:t>, and Ojo (</w:t>
      </w:r>
      <w:r>
        <w:t>2020</w:t>
      </w:r>
      <w:r>
        <w:t>). Furthermore, Amoo, Adeyinka, and Aderibigbe (2018) asserted that students whose parents have a higher socioeconomic status and a higher level of education may value learning and have more positive ability beliefs about education than those whose parents have a lower socioeconomic status and a lower level of education.</w:t>
      </w:r>
    </w:p>
    <w:p>
      <w:pPr>
        <w:pStyle w:val="style0"/>
        <w:rPr/>
      </w:pPr>
      <w:r>
        <w:t xml:space="preserve">In Kenya, socioeconomic factors significantly predict </w:t>
      </w:r>
      <w:r>
        <w:t>academic achievement</w:t>
      </w:r>
      <w:r>
        <w:t xml:space="preserve"> of school-age children in Kenya. According to </w:t>
      </w:r>
      <w:r>
        <w:t>Nyakan</w:t>
      </w:r>
      <w:r>
        <w:t xml:space="preserve"> and Yambo (</w:t>
      </w:r>
      <w:r>
        <w:t>2021</w:t>
      </w:r>
      <w:r>
        <w:t xml:space="preserve">), failure to pay school fees is caused by low family income and large family sizes, which often affects students' performance. Students' academic success and development are hampered by their parents' low income. According to </w:t>
      </w:r>
      <w:r>
        <w:t>Michubu</w:t>
      </w:r>
      <w:r>
        <w:t xml:space="preserve"> (</w:t>
      </w:r>
      <w:r>
        <w:t>2020</w:t>
      </w:r>
      <w:r>
        <w:t xml:space="preserve">), various socioeconomic factors present in parents and families can be used to predict </w:t>
      </w:r>
      <w:r>
        <w:t>academic achievement</w:t>
      </w:r>
      <w:r>
        <w:t xml:space="preserve"> in a large number of students. According to UNESCO (</w:t>
      </w:r>
      <w:r>
        <w:t>2020</w:t>
      </w:r>
      <w:r>
        <w:t xml:space="preserve">), a person's socioeconomic status may influence their academic success as well as other socioeconomic factors such as poverty, background, education, occupation, and their parents' income level. </w:t>
      </w:r>
      <w:r>
        <w:t>Mumiukha</w:t>
      </w:r>
      <w:r>
        <w:t xml:space="preserve">, Ngugi, and </w:t>
      </w:r>
      <w:r>
        <w:t>Ndiga</w:t>
      </w:r>
      <w:r>
        <w:t xml:space="preserve"> (</w:t>
      </w:r>
      <w:r>
        <w:t>2021</w:t>
      </w:r>
      <w:r>
        <w:t xml:space="preserve">), as well as </w:t>
      </w:r>
      <w:r>
        <w:t>Mweti</w:t>
      </w:r>
      <w:r>
        <w:t xml:space="preserve"> (</w:t>
      </w:r>
      <w:r>
        <w:t>2020</w:t>
      </w:r>
      <w:r>
        <w:t>), identified several socioeconomic factors, such as parents' level of education, income, parents' financial and material resources, family language, parental involvement in the child's education, and peer group in the school setting.  Thus, socioeconomic factors can have a significant impact on a student's academic achievement.</w:t>
      </w:r>
    </w:p>
    <w:p>
      <w:pPr>
        <w:pStyle w:val="style0"/>
        <w:rPr/>
      </w:pPr>
      <w:r>
        <w:t xml:space="preserve">Academic achievement refers to a student's level of performance and understanding in educational settings. It is influenced by a complex interplay of factors such as family </w:t>
      </w:r>
      <w:r>
        <w:t>background, parental education, household income, family size, personal motivation, school and teacher quality, peer influence, and more. Academic achievement, according to research, is not solely the result of innate ability or individual effort; it is shaped and molded by the socioeconomic and familial contexts in which a student grows (</w:t>
      </w:r>
      <w:r>
        <w:t>Bysenk</w:t>
      </w:r>
      <w:r>
        <w:t xml:space="preserve"> &amp; </w:t>
      </w:r>
      <w:r>
        <w:t>Locksoh</w:t>
      </w:r>
      <w:r>
        <w:t xml:space="preserve">, </w:t>
      </w:r>
      <w:r>
        <w:t>2020</w:t>
      </w:r>
      <w:r>
        <w:t xml:space="preserve">; Considine &amp; </w:t>
      </w:r>
      <w:r>
        <w:t>Zappalà</w:t>
      </w:r>
      <w:r>
        <w:t xml:space="preserve">, </w:t>
      </w:r>
      <w:r>
        <w:t>2020</w:t>
      </w:r>
      <w:r>
        <w:t xml:space="preserve">; Shen, </w:t>
      </w:r>
      <w:r>
        <w:t>2021</w:t>
      </w:r>
      <w:r>
        <w:t xml:space="preserve">). Children from supportive, financially stable homes with educated parents tend to perform better in school. </w:t>
      </w:r>
      <w:r>
        <w:t xml:space="preserve"> </w:t>
      </w:r>
      <w:r>
        <w:t>Factors such as larger family size, low household income, and less-educated parents, on the other hand, may pose barriers to academic success. This complex and multifaceted nature of academic achievement necessitates a comprehensive approach to education that takes into account each student's broader life context, tailoring support and resources to individual needs and circumstances (</w:t>
      </w:r>
      <w:r>
        <w:t>Nato</w:t>
      </w:r>
      <w:r>
        <w:t xml:space="preserve">, </w:t>
      </w:r>
      <w:r>
        <w:t>2021</w:t>
      </w:r>
      <w:r>
        <w:t xml:space="preserve">). </w:t>
      </w:r>
    </w:p>
    <w:p>
      <w:pPr>
        <w:pStyle w:val="style0"/>
        <w:rPr/>
      </w:pPr>
      <w:r>
        <w:t xml:space="preserve">The study's socioeconomic factors included household income, family size, and parents' educational level. Household income is one of the most important factors influencing academic achievement. According to </w:t>
      </w:r>
      <w:r>
        <w:t>Baliyan</w:t>
      </w:r>
      <w:r>
        <w:t xml:space="preserve">, Madhava, and </w:t>
      </w:r>
      <w:r>
        <w:t>Baliyan</w:t>
      </w:r>
      <w:r>
        <w:t xml:space="preserve"> (</w:t>
      </w:r>
      <w:r>
        <w:t>2021</w:t>
      </w:r>
      <w:r>
        <w:t xml:space="preserve">), there is a positive relationship between a household's income level and students' academic achievement. This is because students from higher-income families are more likely to have access to quality educational resources such as better schools, more qualified teachers, and more educational materials. They are also more likely to have parents who can offer academic support and encouragement. According to Ali, Hossain, and Aktar (2018), lower income levels impede academic growth and the availability of essential resources. Children from low-income families are frequently exposed to environmental stressors such as unsafe neighborhoods and violence, which further impedes their academic development. </w:t>
      </w:r>
    </w:p>
    <w:p>
      <w:pPr>
        <w:pStyle w:val="style0"/>
        <w:rPr/>
      </w:pPr>
      <w:r>
        <w:t xml:space="preserve">The relationship between family income and educational outcomes is not always linear, as some research, such as that conducted by </w:t>
      </w:r>
      <w:r>
        <w:t>Akessa</w:t>
      </w:r>
      <w:r>
        <w:t xml:space="preserve"> and </w:t>
      </w:r>
      <w:r>
        <w:t>Dhufera</w:t>
      </w:r>
      <w:r>
        <w:t xml:space="preserve"> (</w:t>
      </w:r>
      <w:r>
        <w:t>2021</w:t>
      </w:r>
      <w:r>
        <w:t xml:space="preserve">), finds income to be less significant when other variables are controlled for. There is a negative relationship between family size and academic achievement (Baranowska-Rataj, </w:t>
      </w:r>
      <w:r>
        <w:t>Styrc</w:t>
      </w:r>
      <w:r>
        <w:t xml:space="preserve">, &amp; da Silva, </w:t>
      </w:r>
      <w:r>
        <w:t>2021</w:t>
      </w:r>
      <w:r>
        <w:t xml:space="preserve">). This is because students from larger families are more likely to share resources from their parents, such as time and attention, making it difficult for them to excel academically. They are also more likely to experience family stress and conflict, which can have a negative impact on their </w:t>
      </w:r>
      <w:r>
        <w:t>academic achievement</w:t>
      </w:r>
      <w:r>
        <w:t xml:space="preserve">. According to </w:t>
      </w:r>
      <w:r>
        <w:t>Bysenk</w:t>
      </w:r>
      <w:r>
        <w:t xml:space="preserve"> and </w:t>
      </w:r>
      <w:r>
        <w:t>Locksoh</w:t>
      </w:r>
      <w:r>
        <w:t xml:space="preserve"> (</w:t>
      </w:r>
      <w:r>
        <w:t>2020</w:t>
      </w:r>
      <w:r>
        <w:t>), Shen (</w:t>
      </w:r>
      <w:r>
        <w:t>2021</w:t>
      </w:r>
      <w:r>
        <w:t xml:space="preserve">), Kakumbi, Samuel, and </w:t>
      </w:r>
      <w:r>
        <w:t>Mulendema</w:t>
      </w:r>
      <w:r>
        <w:t xml:space="preserve"> (</w:t>
      </w:r>
      <w:r>
        <w:t>2021</w:t>
      </w:r>
      <w:r>
        <w:t xml:space="preserve">), children from larger families frequently face educational </w:t>
      </w:r>
      <w:r>
        <w:t>challenges. Larger family sizes are associated with less parental attention and limited access to educational resources, which leads to poorer academic outcomes (</w:t>
      </w:r>
      <w:r>
        <w:t>Nato</w:t>
      </w:r>
      <w:r>
        <w:t xml:space="preserve">, </w:t>
      </w:r>
      <w:r>
        <w:t>2021</w:t>
      </w:r>
      <w:r>
        <w:t>).</w:t>
      </w:r>
    </w:p>
    <w:p>
      <w:pPr>
        <w:pStyle w:val="style0"/>
        <w:rPr/>
      </w:pPr>
      <w:r>
        <w:t>The educational level of a child's parents has been studied as a key determinant of his or her academic trajectory. Parents with higher educational attainment tend to foster intellectual potential in their children, according to researchers such as Castro et al. (</w:t>
      </w:r>
      <w:r>
        <w:t>2021</w:t>
      </w:r>
      <w:r>
        <w:t xml:space="preserve">) and Haveman and Wolfe (1995). Such parents are more likely to provide material, moral, and financial support, as well as to set high goals and enable their children to pursue higher education levels. However, results in this domain are not always consistent. According to </w:t>
      </w:r>
      <w:r>
        <w:t>Boonk</w:t>
      </w:r>
      <w:r>
        <w:t xml:space="preserve"> et al. (2018), there is a positive relationship between parents' educational level and students' academic achievement. This is because more educated parents are more likely to value education and provide their children with the academic support they require. They are also more likely to be knowledgeable and skilled in assisting their children with their schoolwork.</w:t>
      </w:r>
    </w:p>
    <w:p>
      <w:pPr>
        <w:pStyle w:val="style0"/>
        <w:rPr/>
      </w:pPr>
      <w:r>
        <w:t xml:space="preserve">Socioeconomic factors influence students' </w:t>
      </w:r>
      <w:r>
        <w:t>academic achievement</w:t>
      </w:r>
      <w:r>
        <w:t xml:space="preserve"> in Karaba Zone, </w:t>
      </w:r>
      <w:r>
        <w:t>Mbeere</w:t>
      </w:r>
      <w:r>
        <w:t xml:space="preserve"> South. Most families' household income is insufficient to meet household needs and school requirements (Sub County Education Office, 2019). Most students remain at home to assist their parents in earning a living, particularly through part-time work. This frequently causes students to be unable to focus on schoolwork, negatively impacting their performance. Some drop out on the way to class, while others frequently miss class. Table 1.1 compares Karaba Zonal </w:t>
      </w:r>
      <w:r>
        <w:t>KCSE</w:t>
      </w:r>
      <w:r>
        <w:t xml:space="preserve"> Exam performance to the overall average of </w:t>
      </w:r>
      <w:r>
        <w:t>Mbeere</w:t>
      </w:r>
      <w:r>
        <w:t xml:space="preserve"> South Sub-County over </w:t>
      </w:r>
      <w:r>
        <w:t>a</w:t>
      </w:r>
      <w:r>
        <w:t xml:space="preserve"> </w:t>
      </w:r>
      <w:r>
        <w:t>eight</w:t>
      </w:r>
      <w:r>
        <w:t xml:space="preserve">-year period, from </w:t>
      </w:r>
      <w:r>
        <w:t>2014</w:t>
      </w:r>
      <w:r>
        <w:t xml:space="preserve"> to 20</w:t>
      </w:r>
      <w:r>
        <w:t>21</w:t>
      </w:r>
      <w:r>
        <w:t>.</w:t>
      </w:r>
    </w:p>
    <w:bookmarkStart w:id="17" w:name="_Toc496181318"/>
    <w:bookmarkStart w:id="18" w:name="_Toc144196174"/>
    <w:p>
      <w:pPr>
        <w:pStyle w:val="style4"/>
        <w:spacing w:before="120" w:after="120"/>
        <w:rPr/>
      </w:pPr>
      <w:r>
        <w:t xml:space="preserve">Table 1.1: Comparison of Karaba Zonal </w:t>
      </w:r>
      <w:r>
        <w:t xml:space="preserve">KCSE </w:t>
      </w:r>
      <w:r>
        <w:t xml:space="preserve">Exam performance to Overall average of </w:t>
      </w:r>
      <w:r>
        <w:t>Mbeere</w:t>
      </w:r>
      <w:r>
        <w:t xml:space="preserve"> </w:t>
      </w:r>
      <w:bookmarkEnd w:id="17"/>
      <w:r>
        <w:t>South Sub- County</w:t>
      </w:r>
      <w:bookmarkEnd w:id="18"/>
    </w:p>
    <w:tbl>
      <w:tblPr>
        <w:tblStyle w:val="style15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1"/>
        <w:gridCol w:w="763"/>
        <w:gridCol w:w="763"/>
        <w:gridCol w:w="763"/>
        <w:gridCol w:w="763"/>
        <w:gridCol w:w="763"/>
        <w:gridCol w:w="763"/>
        <w:gridCol w:w="763"/>
        <w:gridCol w:w="763"/>
      </w:tblGrid>
      <w:tr>
        <w:trPr>
          <w:trHeight w:val="350" w:hRule="atLeast"/>
        </w:trPr>
        <w:tc>
          <w:tcPr>
            <w:tcW w:w="1914" w:type="pct"/>
            <w:tcBorders>
              <w:top w:val="single" w:sz="4" w:space="0" w:color="auto"/>
              <w:bottom w:val="single" w:sz="4" w:space="0" w:color="auto"/>
            </w:tcBorders>
          </w:tcPr>
          <w:p>
            <w:pPr>
              <w:pStyle w:val="style0"/>
              <w:spacing w:before="0" w:lineRule="auto" w:line="240"/>
              <w:jc w:val="left"/>
              <w:rPr>
                <w:b/>
              </w:rPr>
            </w:pPr>
            <w:r>
              <w:rPr>
                <w:b/>
              </w:rPr>
              <w:t>Year</w:t>
            </w:r>
          </w:p>
        </w:tc>
        <w:tc>
          <w:tcPr>
            <w:tcW w:w="386" w:type="pct"/>
            <w:tcBorders>
              <w:top w:val="single" w:sz="4" w:space="0" w:color="auto"/>
              <w:bottom w:val="single" w:sz="4" w:space="0" w:color="auto"/>
            </w:tcBorders>
          </w:tcPr>
          <w:p>
            <w:pPr>
              <w:pStyle w:val="style0"/>
              <w:spacing w:before="0" w:lineRule="auto" w:line="240"/>
              <w:jc w:val="center"/>
              <w:rPr>
                <w:b/>
              </w:rPr>
            </w:pPr>
            <w:r>
              <w:rPr>
                <w:b/>
              </w:rPr>
              <w:t>2014</w:t>
            </w:r>
          </w:p>
        </w:tc>
        <w:tc>
          <w:tcPr>
            <w:tcW w:w="386" w:type="pct"/>
            <w:tcBorders>
              <w:top w:val="single" w:sz="4" w:space="0" w:color="auto"/>
              <w:bottom w:val="single" w:sz="4" w:space="0" w:color="auto"/>
            </w:tcBorders>
          </w:tcPr>
          <w:p>
            <w:pPr>
              <w:pStyle w:val="style0"/>
              <w:spacing w:before="0" w:lineRule="auto" w:line="240"/>
              <w:jc w:val="center"/>
              <w:rPr>
                <w:b/>
              </w:rPr>
            </w:pPr>
            <w:r>
              <w:rPr>
                <w:b/>
              </w:rPr>
              <w:t>2015</w:t>
            </w:r>
          </w:p>
        </w:tc>
        <w:tc>
          <w:tcPr>
            <w:tcW w:w="386" w:type="pct"/>
            <w:tcBorders>
              <w:top w:val="single" w:sz="4" w:space="0" w:color="auto"/>
              <w:bottom w:val="single" w:sz="4" w:space="0" w:color="auto"/>
            </w:tcBorders>
          </w:tcPr>
          <w:p>
            <w:pPr>
              <w:pStyle w:val="style0"/>
              <w:spacing w:before="0" w:lineRule="auto" w:line="240"/>
              <w:jc w:val="center"/>
              <w:rPr>
                <w:b/>
              </w:rPr>
            </w:pPr>
            <w:r>
              <w:rPr>
                <w:b/>
              </w:rPr>
              <w:t>2016</w:t>
            </w:r>
          </w:p>
        </w:tc>
        <w:tc>
          <w:tcPr>
            <w:tcW w:w="386" w:type="pct"/>
            <w:tcBorders>
              <w:top w:val="single" w:sz="4" w:space="0" w:color="auto"/>
              <w:bottom w:val="single" w:sz="4" w:space="0" w:color="auto"/>
            </w:tcBorders>
          </w:tcPr>
          <w:p>
            <w:pPr>
              <w:pStyle w:val="style0"/>
              <w:spacing w:before="0" w:lineRule="auto" w:line="240"/>
              <w:jc w:val="center"/>
              <w:rPr>
                <w:b/>
              </w:rPr>
            </w:pPr>
            <w:r>
              <w:rPr>
                <w:b/>
              </w:rPr>
              <w:t>2017</w:t>
            </w:r>
          </w:p>
        </w:tc>
        <w:tc>
          <w:tcPr>
            <w:tcW w:w="386" w:type="pct"/>
            <w:tcBorders>
              <w:top w:val="single" w:sz="4" w:space="0" w:color="auto"/>
              <w:bottom w:val="single" w:sz="4" w:space="0" w:color="auto"/>
            </w:tcBorders>
          </w:tcPr>
          <w:p>
            <w:pPr>
              <w:pStyle w:val="style0"/>
              <w:spacing w:before="0" w:lineRule="auto" w:line="240"/>
              <w:jc w:val="center"/>
              <w:rPr>
                <w:b/>
              </w:rPr>
            </w:pPr>
            <w:r>
              <w:rPr>
                <w:b/>
              </w:rPr>
              <w:t>2018</w:t>
            </w:r>
          </w:p>
        </w:tc>
        <w:tc>
          <w:tcPr>
            <w:tcW w:w="386" w:type="pct"/>
            <w:tcBorders>
              <w:top w:val="single" w:sz="4" w:space="0" w:color="auto"/>
              <w:bottom w:val="single" w:sz="4" w:space="0" w:color="auto"/>
            </w:tcBorders>
          </w:tcPr>
          <w:p>
            <w:pPr>
              <w:pStyle w:val="style0"/>
              <w:spacing w:before="0" w:lineRule="auto" w:line="240"/>
              <w:jc w:val="center"/>
              <w:rPr>
                <w:b/>
              </w:rPr>
            </w:pPr>
            <w:r>
              <w:rPr>
                <w:b/>
              </w:rPr>
              <w:t>201</w:t>
            </w:r>
            <w:r>
              <w:rPr>
                <w:b/>
              </w:rPr>
              <w:t>9</w:t>
            </w:r>
          </w:p>
        </w:tc>
        <w:tc>
          <w:tcPr>
            <w:tcW w:w="386" w:type="pct"/>
            <w:tcBorders>
              <w:top w:val="single" w:sz="4" w:space="0" w:color="auto"/>
              <w:bottom w:val="single" w:sz="4" w:space="0" w:color="auto"/>
            </w:tcBorders>
          </w:tcPr>
          <w:p>
            <w:pPr>
              <w:pStyle w:val="style0"/>
              <w:spacing w:before="0" w:lineRule="auto" w:line="240"/>
              <w:jc w:val="center"/>
              <w:rPr>
                <w:b/>
              </w:rPr>
            </w:pPr>
            <w:r>
              <w:rPr>
                <w:b/>
              </w:rPr>
              <w:t>20</w:t>
            </w:r>
            <w:r>
              <w:rPr>
                <w:b/>
              </w:rPr>
              <w:t>20</w:t>
            </w:r>
          </w:p>
        </w:tc>
        <w:tc>
          <w:tcPr>
            <w:tcW w:w="386" w:type="pct"/>
            <w:tcBorders>
              <w:top w:val="single" w:sz="4" w:space="0" w:color="auto"/>
              <w:bottom w:val="single" w:sz="4" w:space="0" w:color="auto"/>
            </w:tcBorders>
          </w:tcPr>
          <w:p>
            <w:pPr>
              <w:pStyle w:val="style0"/>
              <w:spacing w:before="0" w:lineRule="auto" w:line="240"/>
              <w:jc w:val="center"/>
              <w:rPr>
                <w:b/>
              </w:rPr>
            </w:pPr>
            <w:r>
              <w:rPr>
                <w:b/>
              </w:rPr>
              <w:t>20</w:t>
            </w:r>
            <w:r>
              <w:rPr>
                <w:b/>
              </w:rPr>
              <w:t>21</w:t>
            </w:r>
          </w:p>
        </w:tc>
      </w:tr>
      <w:tr>
        <w:tblPrEx/>
        <w:trPr/>
        <w:tc>
          <w:tcPr>
            <w:tcW w:w="1914" w:type="pct"/>
            <w:tcBorders>
              <w:top w:val="single" w:sz="4" w:space="0" w:color="auto"/>
            </w:tcBorders>
          </w:tcPr>
          <w:p>
            <w:pPr>
              <w:pStyle w:val="style0"/>
              <w:spacing w:before="0" w:lineRule="auto" w:line="240"/>
              <w:jc w:val="left"/>
              <w:rPr/>
            </w:pPr>
            <w:r>
              <w:t xml:space="preserve">Average </w:t>
            </w:r>
            <w:r>
              <w:t xml:space="preserve">KCSE </w:t>
            </w:r>
            <w:r>
              <w:t>marks attained in Zonal Exam (Karaba Zone)</w:t>
            </w:r>
          </w:p>
        </w:tc>
        <w:tc>
          <w:tcPr>
            <w:tcW w:w="386" w:type="pct"/>
            <w:tcBorders>
              <w:top w:val="single" w:sz="4" w:space="0" w:color="auto"/>
            </w:tcBorders>
          </w:tcPr>
          <w:p>
            <w:pPr>
              <w:pStyle w:val="style0"/>
              <w:spacing w:before="0" w:lineRule="auto" w:line="240"/>
              <w:jc w:val="center"/>
              <w:rPr/>
            </w:pPr>
            <w:r>
              <w:t>2</w:t>
            </w:r>
            <w:r>
              <w:t>41</w:t>
            </w:r>
          </w:p>
        </w:tc>
        <w:tc>
          <w:tcPr>
            <w:tcW w:w="386" w:type="pct"/>
            <w:tcBorders>
              <w:top w:val="single" w:sz="4" w:space="0" w:color="auto"/>
            </w:tcBorders>
          </w:tcPr>
          <w:p>
            <w:pPr>
              <w:pStyle w:val="style0"/>
              <w:spacing w:before="0" w:lineRule="auto" w:line="240"/>
              <w:jc w:val="center"/>
              <w:rPr/>
            </w:pPr>
            <w:r>
              <w:t>2</w:t>
            </w:r>
            <w:r>
              <w:t>06</w:t>
            </w:r>
          </w:p>
        </w:tc>
        <w:tc>
          <w:tcPr>
            <w:tcW w:w="386" w:type="pct"/>
            <w:tcBorders>
              <w:top w:val="single" w:sz="4" w:space="0" w:color="auto"/>
            </w:tcBorders>
          </w:tcPr>
          <w:p>
            <w:pPr>
              <w:pStyle w:val="style0"/>
              <w:spacing w:before="0" w:lineRule="auto" w:line="240"/>
              <w:jc w:val="center"/>
              <w:rPr/>
            </w:pPr>
            <w:r>
              <w:t>2</w:t>
            </w:r>
            <w:r>
              <w:t>48</w:t>
            </w:r>
          </w:p>
        </w:tc>
        <w:tc>
          <w:tcPr>
            <w:tcW w:w="386" w:type="pct"/>
            <w:tcBorders>
              <w:top w:val="single" w:sz="4" w:space="0" w:color="auto"/>
            </w:tcBorders>
          </w:tcPr>
          <w:p>
            <w:pPr>
              <w:pStyle w:val="style0"/>
              <w:spacing w:before="0" w:lineRule="auto" w:line="240"/>
              <w:jc w:val="center"/>
              <w:rPr/>
            </w:pPr>
            <w:r>
              <w:t>2</w:t>
            </w:r>
            <w:r>
              <w:t>29</w:t>
            </w:r>
          </w:p>
        </w:tc>
        <w:tc>
          <w:tcPr>
            <w:tcW w:w="386" w:type="pct"/>
            <w:tcBorders>
              <w:top w:val="single" w:sz="4" w:space="0" w:color="auto"/>
            </w:tcBorders>
          </w:tcPr>
          <w:p>
            <w:pPr>
              <w:pStyle w:val="style0"/>
              <w:spacing w:before="0" w:lineRule="auto" w:line="240"/>
              <w:jc w:val="center"/>
              <w:rPr/>
            </w:pPr>
            <w:r>
              <w:t>20</w:t>
            </w:r>
            <w:r>
              <w:t>8</w:t>
            </w:r>
          </w:p>
        </w:tc>
        <w:tc>
          <w:tcPr>
            <w:tcW w:w="386" w:type="pct"/>
            <w:tcBorders>
              <w:top w:val="single" w:sz="4" w:space="0" w:color="auto"/>
            </w:tcBorders>
          </w:tcPr>
          <w:p>
            <w:pPr>
              <w:pStyle w:val="style0"/>
              <w:spacing w:before="0" w:lineRule="auto" w:line="240"/>
              <w:jc w:val="center"/>
              <w:rPr/>
            </w:pPr>
            <w:r>
              <w:t>2</w:t>
            </w:r>
            <w:r>
              <w:t>25</w:t>
            </w:r>
          </w:p>
        </w:tc>
        <w:tc>
          <w:tcPr>
            <w:tcW w:w="386" w:type="pct"/>
            <w:tcBorders>
              <w:top w:val="single" w:sz="4" w:space="0" w:color="auto"/>
            </w:tcBorders>
          </w:tcPr>
          <w:p>
            <w:pPr>
              <w:pStyle w:val="style0"/>
              <w:spacing w:before="0" w:lineRule="auto" w:line="240"/>
              <w:jc w:val="center"/>
              <w:rPr/>
            </w:pPr>
            <w:r>
              <w:t>2</w:t>
            </w:r>
            <w:r>
              <w:t>19</w:t>
            </w:r>
          </w:p>
        </w:tc>
        <w:tc>
          <w:tcPr>
            <w:tcW w:w="386" w:type="pct"/>
            <w:tcBorders>
              <w:top w:val="single" w:sz="4" w:space="0" w:color="auto"/>
            </w:tcBorders>
          </w:tcPr>
          <w:p>
            <w:pPr>
              <w:pStyle w:val="style0"/>
              <w:spacing w:before="0" w:lineRule="auto" w:line="240"/>
              <w:jc w:val="center"/>
              <w:rPr/>
            </w:pPr>
            <w:r>
              <w:t>2</w:t>
            </w:r>
            <w:r>
              <w:t>31</w:t>
            </w:r>
          </w:p>
        </w:tc>
      </w:tr>
      <w:tr>
        <w:tblPrEx/>
        <w:trPr/>
        <w:tc>
          <w:tcPr>
            <w:tcW w:w="1914" w:type="pct"/>
            <w:tcBorders>
              <w:bottom w:val="single" w:sz="4" w:space="0" w:color="auto"/>
            </w:tcBorders>
          </w:tcPr>
          <w:p>
            <w:pPr>
              <w:pStyle w:val="style0"/>
              <w:spacing w:before="0" w:lineRule="auto" w:line="240"/>
              <w:jc w:val="left"/>
              <w:rPr/>
            </w:pPr>
            <w:r>
              <w:t xml:space="preserve">Average </w:t>
            </w:r>
            <w:r>
              <w:t xml:space="preserve">KCSE </w:t>
            </w:r>
            <w:r>
              <w:t xml:space="preserve">marks in </w:t>
            </w:r>
            <w:r>
              <w:t>Mbeere</w:t>
            </w:r>
            <w:r>
              <w:t xml:space="preserve"> South Sub- County</w:t>
            </w:r>
          </w:p>
        </w:tc>
        <w:tc>
          <w:tcPr>
            <w:tcW w:w="386" w:type="pct"/>
            <w:tcBorders>
              <w:bottom w:val="single" w:sz="4" w:space="0" w:color="auto"/>
            </w:tcBorders>
          </w:tcPr>
          <w:p>
            <w:pPr>
              <w:pStyle w:val="style0"/>
              <w:spacing w:before="0" w:lineRule="auto" w:line="240"/>
              <w:jc w:val="center"/>
              <w:rPr/>
            </w:pPr>
            <w:r>
              <w:t>249</w:t>
            </w:r>
          </w:p>
        </w:tc>
        <w:tc>
          <w:tcPr>
            <w:tcW w:w="386" w:type="pct"/>
            <w:tcBorders>
              <w:bottom w:val="single" w:sz="4" w:space="0" w:color="auto"/>
            </w:tcBorders>
          </w:tcPr>
          <w:p>
            <w:pPr>
              <w:pStyle w:val="style0"/>
              <w:spacing w:before="0" w:lineRule="auto" w:line="240"/>
              <w:jc w:val="center"/>
              <w:rPr/>
            </w:pPr>
            <w:r>
              <w:t>21</w:t>
            </w:r>
            <w:r>
              <w:t>8</w:t>
            </w:r>
          </w:p>
        </w:tc>
        <w:tc>
          <w:tcPr>
            <w:tcW w:w="386" w:type="pct"/>
            <w:tcBorders>
              <w:bottom w:val="single" w:sz="4" w:space="0" w:color="auto"/>
            </w:tcBorders>
          </w:tcPr>
          <w:p>
            <w:pPr>
              <w:pStyle w:val="style0"/>
              <w:spacing w:before="0" w:lineRule="auto" w:line="240"/>
              <w:jc w:val="center"/>
              <w:rPr/>
            </w:pPr>
            <w:r>
              <w:t>257</w:t>
            </w:r>
          </w:p>
        </w:tc>
        <w:tc>
          <w:tcPr>
            <w:tcW w:w="386" w:type="pct"/>
            <w:tcBorders>
              <w:bottom w:val="single" w:sz="4" w:space="0" w:color="auto"/>
            </w:tcBorders>
          </w:tcPr>
          <w:p>
            <w:pPr>
              <w:pStyle w:val="style0"/>
              <w:spacing w:before="0" w:lineRule="auto" w:line="240"/>
              <w:jc w:val="center"/>
              <w:rPr/>
            </w:pPr>
            <w:r>
              <w:t>23</w:t>
            </w:r>
            <w:r>
              <w:t>5</w:t>
            </w:r>
          </w:p>
        </w:tc>
        <w:tc>
          <w:tcPr>
            <w:tcW w:w="386" w:type="pct"/>
            <w:tcBorders>
              <w:bottom w:val="single" w:sz="4" w:space="0" w:color="auto"/>
            </w:tcBorders>
          </w:tcPr>
          <w:p>
            <w:pPr>
              <w:pStyle w:val="style0"/>
              <w:spacing w:before="0" w:lineRule="auto" w:line="240"/>
              <w:jc w:val="center"/>
              <w:rPr/>
            </w:pPr>
            <w:r>
              <w:t>215</w:t>
            </w:r>
          </w:p>
        </w:tc>
        <w:tc>
          <w:tcPr>
            <w:tcW w:w="386" w:type="pct"/>
            <w:tcBorders>
              <w:bottom w:val="single" w:sz="4" w:space="0" w:color="auto"/>
            </w:tcBorders>
          </w:tcPr>
          <w:p>
            <w:pPr>
              <w:pStyle w:val="style0"/>
              <w:spacing w:before="0" w:lineRule="auto" w:line="240"/>
              <w:jc w:val="center"/>
              <w:rPr/>
            </w:pPr>
            <w:r>
              <w:t>23</w:t>
            </w:r>
            <w:r>
              <w:t>8</w:t>
            </w:r>
          </w:p>
        </w:tc>
        <w:tc>
          <w:tcPr>
            <w:tcW w:w="386" w:type="pct"/>
            <w:tcBorders>
              <w:bottom w:val="single" w:sz="4" w:space="0" w:color="auto"/>
            </w:tcBorders>
          </w:tcPr>
          <w:p>
            <w:pPr>
              <w:pStyle w:val="style0"/>
              <w:spacing w:before="0" w:lineRule="auto" w:line="240"/>
              <w:jc w:val="center"/>
              <w:rPr/>
            </w:pPr>
            <w:r>
              <w:t>227</w:t>
            </w:r>
          </w:p>
        </w:tc>
        <w:tc>
          <w:tcPr>
            <w:tcW w:w="386" w:type="pct"/>
            <w:tcBorders>
              <w:bottom w:val="single" w:sz="4" w:space="0" w:color="auto"/>
            </w:tcBorders>
          </w:tcPr>
          <w:p>
            <w:pPr>
              <w:pStyle w:val="style0"/>
              <w:spacing w:before="0" w:lineRule="auto" w:line="240"/>
              <w:jc w:val="center"/>
              <w:rPr/>
            </w:pPr>
            <w:r>
              <w:t>239</w:t>
            </w:r>
          </w:p>
        </w:tc>
      </w:tr>
    </w:tbl>
    <w:p>
      <w:pPr>
        <w:pStyle w:val="style0"/>
        <w:rPr/>
      </w:pPr>
      <w:r>
        <w:t xml:space="preserve">Source: </w:t>
      </w:r>
      <w:r>
        <w:t>Kenya National Examinations Council</w:t>
      </w:r>
      <w:r>
        <w:t>, 20</w:t>
      </w:r>
      <w:r>
        <w:t>22</w:t>
      </w:r>
    </w:p>
    <w:p>
      <w:pPr>
        <w:pStyle w:val="style0"/>
        <w:rPr/>
      </w:pPr>
      <w:r>
        <w:t xml:space="preserve">The presented table provides a comparative analysis of the mean KCSE (Kenya Certificate of Secondary Education) scores between the Karaba Zone and the overall average within </w:t>
      </w:r>
      <w:r>
        <w:t>Mbeere</w:t>
      </w:r>
      <w:r>
        <w:t xml:space="preserve"> South Sub-County, spanning the years 2014 to 2021. Based on the available data, it is apparent that the Karaba Zone consistently exhibits lower average marks in comparison to the </w:t>
      </w:r>
      <w:r>
        <w:t>Mbeere</w:t>
      </w:r>
      <w:r>
        <w:t xml:space="preserve"> South Sub-County as a whole throughout the years examined. The performance of Karaba Zone exhibits variability, as evidenced by a decline in scores to a minimum of 206 in 2015, followed by an increase to a maximum of 248 in 2016. Nevertheless, in spite of these fluctuations, it has been observed that the Karaba Zone consistently exhibits lower scores compared to the average scores of the </w:t>
      </w:r>
      <w:r>
        <w:t>Mbeere</w:t>
      </w:r>
      <w:r>
        <w:t xml:space="preserve"> South Sub-County. The magnitude of this gap ranges from 2 to 9 marks, albeit varying.</w:t>
      </w:r>
    </w:p>
    <w:p>
      <w:pPr>
        <w:pStyle w:val="style0"/>
        <w:rPr/>
      </w:pPr>
      <w:r>
        <w:t xml:space="preserve">The implications of this data are diverse and complex. Firstly, it is suggested that educational institutions within the Karaba Zone may encounter difficulties that contribute to comparatively lower academic achievements when compared to the wider sub-county. The potential causes of these outcomes may stem from a range of factors, such as limited access to resources, a lower level of teacher expertise, or socio-economic challenges that impact the students. Furthermore, the diminished academic performance may have adverse consequences on the students' prospects for pursuing higher education and securing employment, thereby perpetuating a cycle of underachievement within the region. Based on the data analysis, it is evident that specific interventions are required to enhance educational achievements in the Karaba Zone, with the aim of aligning it with, or even exceeding, the overall averages observed in the broader </w:t>
      </w:r>
      <w:r>
        <w:t>Mbeere</w:t>
      </w:r>
      <w:r>
        <w:t xml:space="preserve"> South Sub-County.</w:t>
      </w:r>
    </w:p>
    <w:p>
      <w:pPr>
        <w:pStyle w:val="style0"/>
        <w:rPr/>
      </w:pPr>
      <w:r>
        <w:t xml:space="preserve">The consistent underperformance of Karaba Zone in comparison to the </w:t>
      </w:r>
      <w:r>
        <w:t>Mbeere</w:t>
      </w:r>
      <w:r>
        <w:t xml:space="preserve"> South Sub-County average indicated that further research was required. This comparative analysis served as the foundation for a more in-depth investigation into the root causes of this disparity. The study investigated the impact of socioeconomic factors on academic achievement in public primary schools in Karaba Zone, </w:t>
      </w:r>
      <w:r>
        <w:t>Mbeere</w:t>
      </w:r>
      <w:r>
        <w:t xml:space="preserve"> South Sub-County, Kenya. The years of underperformance in the Karaba Zone provided a compelling reason to delve deeper into the underlying causes that may be affecting students' educational outcomes. The study's specific objectives were to investigate the relationship between a household's income level, family size, and parents' education </w:t>
      </w:r>
      <w:r>
        <w:t xml:space="preserve">level on pupils' academic achievement in primary schools in Karaba Zone, </w:t>
      </w:r>
      <w:r>
        <w:t>Mbeere</w:t>
      </w:r>
      <w:r>
        <w:t xml:space="preserve"> South Sub-County.</w:t>
      </w:r>
    </w:p>
    <w:bookmarkStart w:id="19" w:name="_Toc144283172"/>
    <w:p>
      <w:pPr>
        <w:pStyle w:val="style2"/>
        <w:rPr/>
      </w:pPr>
      <w:r>
        <w:t>1.</w:t>
      </w:r>
      <w:r>
        <w:t>2</w:t>
      </w:r>
      <w:r>
        <w:t xml:space="preserve"> </w:t>
      </w:r>
      <w:r>
        <w:t>Statement of the problem</w:t>
      </w:r>
      <w:bookmarkEnd w:id="19"/>
    </w:p>
    <w:p>
      <w:pPr>
        <w:pStyle w:val="style0"/>
        <w:rPr/>
      </w:pPr>
      <w:r>
        <w:t xml:space="preserve">There exists a consistent pattern of academic underperformance among students in Karaba Zone in relation to the wider </w:t>
      </w:r>
      <w:r>
        <w:t>Mbeere</w:t>
      </w:r>
      <w:r>
        <w:t xml:space="preserve"> South Sub-County. The existence of a persistent academic disparity between the Karaba Zone and the </w:t>
      </w:r>
      <w:r>
        <w:t>Mbeere</w:t>
      </w:r>
      <w:r>
        <w:t xml:space="preserve"> South Sub-County is readily apparent. From 2014 to 2021, the academic performance in the Karaba Zone has consistently exhibited lower levels compared to the average performance observed in </w:t>
      </w:r>
      <w:r>
        <w:t>Mbeere</w:t>
      </w:r>
      <w:r>
        <w:t xml:space="preserve"> South Sub-County. In the year 2014, the mean KCSE scores in the Karaba Zone were recorded as 241, in contrast to the average scores of 249 in the </w:t>
      </w:r>
      <w:r>
        <w:t>Mbeere</w:t>
      </w:r>
      <w:r>
        <w:t xml:space="preserve"> South Sub-County. In the year 2015, the Karaba Zone achieved a score of 206, while the average score for the sub-county was 218. In the year 2016, Karaba exhibited an average score of 248, whereas the sub-county achieved a higher score of 257. In the year 2017, the Karaba Zone was recorded at a value of 229, while the sub-county was documented at a value of 235. In the year 2018, the Karaba Zone achieved a score of 208, while the sub-county attained a score of 215. In the year 2019, the Karaba Zone was recorded to have a population of 225 individuals, while the sub-county had a population of 238 individuals. In the year 2020, the Karaba Zone achieved a score of 219, while the sub-county obtained a score of 227. In the year 2021, the Karaba Zone was identified as 231, while the corresponding sub-county was designated as 239. The persistent disparity observed over time indicates a problem of inadequate performance within the Karaba Zone in relation to the wider </w:t>
      </w:r>
      <w:r>
        <w:t>Mbeere</w:t>
      </w:r>
      <w:r>
        <w:t xml:space="preserve"> South Sub-County.</w:t>
      </w:r>
    </w:p>
    <w:p>
      <w:pPr>
        <w:pStyle w:val="style0"/>
        <w:rPr/>
      </w:pPr>
      <w:r>
        <w:t xml:space="preserve">The current study was motivated by the discovery of significant knowledge gaps in existing research. Following a review of previous studies, several knowledge gaps, encompassing conceptual, contextual, and methodological dimensions, emerged. Notably, the majority of the studies reviewed were carried out in countries other than Kenya, revealing a contextual gap in terms of applicability to the Karaba Zone, </w:t>
      </w:r>
      <w:r>
        <w:t>Mbeere</w:t>
      </w:r>
      <w:r>
        <w:t xml:space="preserve"> South Sub-County context. The contextual gap was exacerbated further by the fact that some Kenya studies were conducted in areas other than the designated Karaba Zone.</w:t>
      </w:r>
    </w:p>
    <w:p>
      <w:pPr>
        <w:pStyle w:val="style0"/>
        <w:rPr/>
      </w:pPr>
      <w:r>
        <w:t xml:space="preserve">Furthermore, the studies examined revealed a clear conceptual gap. None of these studies sought to establish a link between a household's income level, family size, and </w:t>
      </w:r>
      <w:r>
        <w:t xml:space="preserve">parents' education level and pupils' academic achievement in primary schools in the unique context of Karaba Zone, </w:t>
      </w:r>
      <w:r>
        <w:t>Mbeere</w:t>
      </w:r>
      <w:r>
        <w:t xml:space="preserve"> South Sub-County. This conceptual gap indicates the need to investigate these specific socioeconomic factors as key determinants of academic achievement in the local context, and the absence of such a focus in previous studies serves as a clear rationale for the current study. Furthermore, methodological gaps in the reviewed studies were discovered, particularly in terms of data type, research design, and sampling techniques used, among other things. These gaps highlighted the significance of the current study. </w:t>
      </w:r>
    </w:p>
    <w:p>
      <w:pPr>
        <w:pStyle w:val="style0"/>
        <w:rPr/>
      </w:pPr>
      <w:r>
        <w:t xml:space="preserve">Nwadike and </w:t>
      </w:r>
      <w:r>
        <w:t>Pelemo</w:t>
      </w:r>
      <w:r>
        <w:t xml:space="preserve"> (2020), for example, investigated the socioeconomic status of a family as a predictor of academic performance among junior secondary school students. Furthermore, Xue, Xuan, Zhang, Li, Jiang, and Wang (2020) conducted a multilevel analysis of the relationships between family- and school-level socioeconomic status and academic achievement among Chinese middle school students, but their findings cannot be directly extrapolated to the Karaba Zone's unique educational environment. Furthermore, </w:t>
      </w:r>
      <w:r>
        <w:t>Muchunku</w:t>
      </w:r>
      <w:r>
        <w:t xml:space="preserve"> (2020) investigated the impact of selected socioeconomic factors on pupil retention and academic achievement, but the findings were not applicable to the unique socioeconomic landscape of Karaba Zone.</w:t>
      </w:r>
    </w:p>
    <w:p>
      <w:pPr>
        <w:pStyle w:val="style0"/>
        <w:rPr/>
      </w:pPr>
      <w:r>
        <w:t xml:space="preserve">The reviewed studies also revealed methodological gaps in addition to conceptual gaps. Across the studies, the research designs, data sources, and sampling techniques used varied. For example, Aga (2022) and Kaptich, Kiplangat, and Munyua (2019) conducted research on the relationship between social-economic factors and student retention and academic achievement, but their methodologies may differ significantly from what is appropriate for the Karaba Zone context. The methodological gaps include things like the data types used, the research design used, and the sampling techniques used, all of which can affect the reliability and comparability of results across different contexts. As a </w:t>
      </w:r>
      <w:r>
        <w:t>result,</w:t>
      </w:r>
      <w:r>
        <w:t xml:space="preserve"> conducting the current study was worthy for policy formulation.</w:t>
      </w:r>
    </w:p>
    <w:bookmarkStart w:id="20" w:name="_Toc144283173"/>
    <w:p>
      <w:pPr>
        <w:pStyle w:val="style2"/>
        <w:rPr/>
      </w:pPr>
      <w:r>
        <w:t>1</w:t>
      </w:r>
      <w:r>
        <w:t>.</w:t>
      </w:r>
      <w:r>
        <w:t>3</w:t>
      </w:r>
      <w:r>
        <w:t xml:space="preserve"> Research objectives</w:t>
      </w:r>
      <w:bookmarkEnd w:id="20"/>
      <w:r>
        <w:t xml:space="preserve"> </w:t>
      </w:r>
    </w:p>
    <w:p>
      <w:pPr>
        <w:pStyle w:val="style0"/>
        <w:rPr/>
      </w:pPr>
      <w:r>
        <w:t>The general objective of the study was to</w:t>
      </w:r>
      <w:r>
        <w:rPr>
          <w:rFonts w:cs="Times New Roman"/>
        </w:rPr>
        <w:t xml:space="preserve"> examine the relationship between</w:t>
      </w:r>
      <w:r>
        <w:t xml:space="preserve"> socioeconomic factors </w:t>
      </w:r>
      <w:r>
        <w:t xml:space="preserve">and </w:t>
      </w:r>
      <w:r>
        <w:t xml:space="preserve">pupils' academic achievement in public primary schools in Karaba Zone, </w:t>
      </w:r>
      <w:r>
        <w:t>Mbeere</w:t>
      </w:r>
      <w:r>
        <w:t xml:space="preserve"> South Sub-County, Kenya. The specific </w:t>
      </w:r>
      <w:r>
        <w:rPr>
          <w:rFonts w:eastAsia="Calibri"/>
          <w:lang w:val="en-GB"/>
        </w:rPr>
        <w:t>objectives of the study were;</w:t>
      </w:r>
    </w:p>
    <w:p>
      <w:pPr>
        <w:pStyle w:val="style179"/>
        <w:numPr>
          <w:ilvl w:val="0"/>
          <w:numId w:val="3"/>
        </w:numPr>
        <w:rPr>
          <w:rFonts w:cs="Times New Roman"/>
          <w:szCs w:val="24"/>
        </w:rPr>
      </w:pPr>
      <w:r>
        <w:rPr>
          <w:rFonts w:cs="Times New Roman"/>
        </w:rPr>
        <w:t xml:space="preserve">To </w:t>
      </w:r>
      <w:r>
        <w:rPr>
          <w:rFonts w:cs="Times New Roman"/>
        </w:rPr>
        <w:t xml:space="preserve">establish </w:t>
      </w:r>
      <w:r>
        <w:rPr>
          <w:rFonts w:cs="Times New Roman"/>
        </w:rPr>
        <w:t xml:space="preserve">the relationship </w:t>
      </w:r>
      <w:r>
        <w:rPr>
          <w:rFonts w:cs="Times New Roman"/>
        </w:rPr>
        <w:t>between</w:t>
      </w:r>
      <w:r>
        <w:rPr>
          <w:rFonts w:cs="Times New Roman"/>
        </w:rPr>
        <w:t xml:space="preserve"> the </w:t>
      </w:r>
      <w:r>
        <w:rPr>
          <w:rFonts w:cs="Times New Roman"/>
        </w:rPr>
        <w:t>income level</w:t>
      </w:r>
      <w:r>
        <w:rPr>
          <w:rFonts w:cs="Times New Roman"/>
        </w:rPr>
        <w:t xml:space="preserve"> </w:t>
      </w:r>
      <w:r>
        <w:rPr>
          <w:rFonts w:cs="Times New Roman"/>
        </w:rPr>
        <w:t xml:space="preserve">of a household </w:t>
      </w:r>
      <w:r>
        <w:rPr>
          <w:rFonts w:cs="Times New Roman"/>
        </w:rPr>
        <w:t xml:space="preserve">and </w:t>
      </w:r>
      <w:r>
        <w:rPr>
          <w:rFonts w:cs="Times New Roman"/>
        </w:rPr>
        <w:t xml:space="preserve">pupils’ </w:t>
      </w:r>
      <w:r>
        <w:rPr>
          <w:shd w:val="clear" w:color="auto" w:fill="ffffff"/>
        </w:rPr>
        <w:t>academic achievement</w:t>
      </w:r>
      <w:r>
        <w:rPr>
          <w:shd w:val="clear" w:color="auto" w:fill="ffffff"/>
        </w:rPr>
        <w:t xml:space="preserve"> </w:t>
      </w:r>
      <w:r>
        <w:rPr>
          <w:shd w:val="clear" w:color="auto" w:fill="ffffff"/>
        </w:rPr>
        <w:t>in</w:t>
      </w:r>
      <w:r>
        <w:rPr>
          <w:shd w:val="clear" w:color="auto" w:fill="ffffff"/>
        </w:rPr>
        <w:t xml:space="preserve"> primary schools in </w:t>
      </w:r>
      <w:r>
        <w:rPr>
          <w:shd w:val="clear" w:color="auto" w:fill="ffffff"/>
        </w:rPr>
        <w:t xml:space="preserve">Karaba Zone, </w:t>
      </w:r>
      <w:r>
        <w:rPr>
          <w:shd w:val="clear" w:color="auto" w:fill="ffffff"/>
        </w:rPr>
        <w:t>Mbeere</w:t>
      </w:r>
      <w:r>
        <w:rPr>
          <w:shd w:val="clear" w:color="auto" w:fill="ffffff"/>
        </w:rPr>
        <w:t xml:space="preserve"> South</w:t>
      </w:r>
      <w:r>
        <w:rPr>
          <w:shd w:val="clear" w:color="auto" w:fill="ffffff"/>
        </w:rPr>
        <w:t xml:space="preserve"> Sub-</w:t>
      </w:r>
      <w:r>
        <w:rPr>
          <w:shd w:val="clear" w:color="auto" w:fill="ffffff"/>
        </w:rPr>
        <w:t>C</w:t>
      </w:r>
      <w:r>
        <w:rPr>
          <w:shd w:val="clear" w:color="auto" w:fill="ffffff"/>
        </w:rPr>
        <w:t>ounty</w:t>
      </w:r>
      <w:r>
        <w:rPr>
          <w:shd w:val="clear" w:color="auto" w:fill="ffffff"/>
        </w:rPr>
        <w:t>.</w:t>
      </w:r>
    </w:p>
    <w:p>
      <w:pPr>
        <w:pStyle w:val="style179"/>
        <w:numPr>
          <w:ilvl w:val="0"/>
          <w:numId w:val="3"/>
        </w:numPr>
        <w:rPr/>
      </w:pPr>
      <w:r>
        <w:rPr>
          <w:rFonts w:cs="Times New Roman"/>
        </w:rPr>
        <w:t xml:space="preserve">To </w:t>
      </w:r>
      <w:r>
        <w:rPr>
          <w:rFonts w:cs="Times New Roman"/>
        </w:rPr>
        <w:t>determine</w:t>
      </w:r>
      <w:r>
        <w:rPr>
          <w:rFonts w:cs="Times New Roman"/>
        </w:rPr>
        <w:t xml:space="preserve"> the </w:t>
      </w:r>
      <w:r>
        <w:rPr>
          <w:rFonts w:cs="Times New Roman"/>
        </w:rPr>
        <w:t xml:space="preserve">relationship between </w:t>
      </w:r>
      <w:r>
        <w:rPr>
          <w:rFonts w:cs="Times New Roman"/>
        </w:rPr>
        <w:t xml:space="preserve">the size of a </w:t>
      </w:r>
      <w:r>
        <w:rPr>
          <w:rFonts w:cs="Times New Roman"/>
        </w:rPr>
        <w:t xml:space="preserve">family </w:t>
      </w:r>
      <w:r>
        <w:rPr>
          <w:rFonts w:cs="Times New Roman"/>
        </w:rPr>
        <w:t>and</w:t>
      </w:r>
      <w:r>
        <w:rPr>
          <w:rFonts w:cs="Times New Roman"/>
        </w:rPr>
        <w:t xml:space="preserve"> </w:t>
      </w:r>
      <w:r>
        <w:rPr>
          <w:rFonts w:cs="Times New Roman"/>
        </w:rPr>
        <w:t xml:space="preserve">pupils’ </w:t>
      </w:r>
      <w:r>
        <w:rPr>
          <w:shd w:val="clear" w:color="auto" w:fill="ffffff"/>
        </w:rPr>
        <w:t>academic achievement</w:t>
      </w:r>
      <w:r>
        <w:rPr>
          <w:shd w:val="clear" w:color="auto" w:fill="ffffff"/>
        </w:rPr>
        <w:t xml:space="preserve"> </w:t>
      </w:r>
      <w:r>
        <w:rPr>
          <w:shd w:val="clear" w:color="auto" w:fill="ffffff"/>
        </w:rPr>
        <w:t>in</w:t>
      </w:r>
      <w:r>
        <w:rPr>
          <w:shd w:val="clear" w:color="auto" w:fill="ffffff"/>
        </w:rPr>
        <w:t xml:space="preserve"> </w:t>
      </w:r>
      <w:r>
        <w:rPr>
          <w:shd w:val="clear" w:color="auto" w:fill="ffffff"/>
        </w:rPr>
        <w:t xml:space="preserve">primary schools in </w:t>
      </w:r>
      <w:r>
        <w:rPr>
          <w:shd w:val="clear" w:color="auto" w:fill="ffffff"/>
        </w:rPr>
        <w:t xml:space="preserve">Karaba Zone, </w:t>
      </w:r>
      <w:r>
        <w:rPr>
          <w:shd w:val="clear" w:color="auto" w:fill="ffffff"/>
        </w:rPr>
        <w:t>Mbeere</w:t>
      </w:r>
      <w:r>
        <w:rPr>
          <w:shd w:val="clear" w:color="auto" w:fill="ffffff"/>
        </w:rPr>
        <w:t xml:space="preserve"> South</w:t>
      </w:r>
      <w:r>
        <w:rPr>
          <w:shd w:val="clear" w:color="auto" w:fill="ffffff"/>
        </w:rPr>
        <w:t xml:space="preserve"> Sub-</w:t>
      </w:r>
      <w:r>
        <w:rPr>
          <w:shd w:val="clear" w:color="auto" w:fill="ffffff"/>
        </w:rPr>
        <w:t>C</w:t>
      </w:r>
      <w:r>
        <w:rPr>
          <w:shd w:val="clear" w:color="auto" w:fill="ffffff"/>
        </w:rPr>
        <w:t>ounty</w:t>
      </w:r>
      <w:r>
        <w:rPr>
          <w:shd w:val="clear" w:color="auto" w:fill="ffffff"/>
        </w:rPr>
        <w:t>.</w:t>
      </w:r>
    </w:p>
    <w:p>
      <w:pPr>
        <w:pStyle w:val="style179"/>
        <w:numPr>
          <w:ilvl w:val="0"/>
          <w:numId w:val="3"/>
        </w:numPr>
        <w:rPr>
          <w:rFonts w:cs="Times New Roman"/>
          <w:szCs w:val="24"/>
        </w:rPr>
      </w:pPr>
      <w:r>
        <w:rPr>
          <w:rFonts w:cs="Times New Roman"/>
        </w:rPr>
        <w:t xml:space="preserve">To </w:t>
      </w:r>
      <w:r>
        <w:rPr>
          <w:rFonts w:cs="Times New Roman"/>
        </w:rPr>
        <w:t>examine</w:t>
      </w:r>
      <w:r>
        <w:rPr>
          <w:rFonts w:cs="Times New Roman"/>
        </w:rPr>
        <w:t xml:space="preserve"> the </w:t>
      </w:r>
      <w:r>
        <w:rPr>
          <w:rFonts w:cs="Times New Roman"/>
        </w:rPr>
        <w:t xml:space="preserve">relationship between </w:t>
      </w:r>
      <w:r>
        <w:rPr>
          <w:rFonts w:cs="Times New Roman"/>
        </w:rPr>
        <w:t>parents</w:t>
      </w:r>
      <w:r>
        <w:rPr>
          <w:rFonts w:cs="Times New Roman"/>
        </w:rPr>
        <w:t>’ education</w:t>
      </w:r>
      <w:r>
        <w:rPr>
          <w:rFonts w:cs="Times New Roman"/>
        </w:rPr>
        <w:t xml:space="preserve"> level </w:t>
      </w:r>
      <w:r>
        <w:rPr>
          <w:rFonts w:cs="Times New Roman"/>
        </w:rPr>
        <w:t>and</w:t>
      </w:r>
      <w:r>
        <w:rPr>
          <w:rFonts w:cs="Times New Roman"/>
        </w:rPr>
        <w:t xml:space="preserve"> </w:t>
      </w:r>
      <w:r>
        <w:rPr>
          <w:rFonts w:cs="Times New Roman"/>
        </w:rPr>
        <w:t>pupils</w:t>
      </w:r>
      <w:r>
        <w:rPr>
          <w:rFonts w:cs="Times New Roman"/>
        </w:rPr>
        <w:t>’</w:t>
      </w:r>
      <w:r>
        <w:rPr>
          <w:rFonts w:cs="Times New Roman"/>
        </w:rPr>
        <w:t xml:space="preserve"> </w:t>
      </w:r>
      <w:r>
        <w:rPr>
          <w:shd w:val="clear" w:color="auto" w:fill="ffffff"/>
        </w:rPr>
        <w:t>academic achievement</w:t>
      </w:r>
      <w:r>
        <w:rPr>
          <w:shd w:val="clear" w:color="auto" w:fill="ffffff"/>
        </w:rPr>
        <w:t xml:space="preserve"> </w:t>
      </w:r>
      <w:r>
        <w:rPr>
          <w:shd w:val="clear" w:color="auto" w:fill="ffffff"/>
        </w:rPr>
        <w:t>in</w:t>
      </w:r>
      <w:r>
        <w:rPr>
          <w:shd w:val="clear" w:color="auto" w:fill="ffffff"/>
        </w:rPr>
        <w:t xml:space="preserve"> primary schools in </w:t>
      </w:r>
      <w:r>
        <w:rPr>
          <w:shd w:val="clear" w:color="auto" w:fill="ffffff"/>
        </w:rPr>
        <w:t xml:space="preserve">Karaba Zone, </w:t>
      </w:r>
      <w:r>
        <w:rPr>
          <w:shd w:val="clear" w:color="auto" w:fill="ffffff"/>
        </w:rPr>
        <w:t>Mbeere</w:t>
      </w:r>
      <w:r>
        <w:rPr>
          <w:shd w:val="clear" w:color="auto" w:fill="ffffff"/>
        </w:rPr>
        <w:t xml:space="preserve"> South</w:t>
      </w:r>
      <w:r>
        <w:rPr>
          <w:shd w:val="clear" w:color="auto" w:fill="ffffff"/>
        </w:rPr>
        <w:t xml:space="preserve"> Sub</w:t>
      </w:r>
      <w:r>
        <w:rPr>
          <w:shd w:val="clear" w:color="auto" w:fill="ffffff"/>
        </w:rPr>
        <w:t>-County</w:t>
      </w:r>
      <w:r>
        <w:rPr>
          <w:rFonts w:cs="Times New Roman"/>
          <w:szCs w:val="24"/>
        </w:rPr>
        <w:t>.</w:t>
      </w:r>
    </w:p>
    <w:bookmarkStart w:id="21" w:name="_Toc144283174"/>
    <w:p>
      <w:pPr>
        <w:pStyle w:val="style2"/>
        <w:rPr/>
      </w:pPr>
      <w:r>
        <w:t>1.</w:t>
      </w:r>
      <w:r>
        <w:t>4</w:t>
      </w:r>
      <w:r>
        <w:tab/>
      </w:r>
      <w:r>
        <w:t xml:space="preserve">Research </w:t>
      </w:r>
      <w:r>
        <w:t>hypotheses</w:t>
      </w:r>
      <w:bookmarkEnd w:id="21"/>
      <w:r>
        <w:t xml:space="preserve"> </w:t>
      </w:r>
    </w:p>
    <w:p>
      <w:pPr>
        <w:pStyle w:val="style0"/>
        <w:rPr>
          <w:lang w:val="en-GB"/>
        </w:rPr>
      </w:pPr>
      <w:r>
        <w:rPr>
          <w:lang w:val="en-GB"/>
        </w:rPr>
        <w:t>The study was guided by the following null hypotheses;</w:t>
      </w:r>
    </w:p>
    <w:p>
      <w:pPr>
        <w:pStyle w:val="style179"/>
        <w:numPr>
          <w:ilvl w:val="0"/>
          <w:numId w:val="19"/>
        </w:numPr>
        <w:rPr>
          <w:lang w:val="en-GB"/>
        </w:rPr>
      </w:pPr>
      <w:r>
        <w:rPr>
          <w:b/>
          <w:bCs/>
          <w:lang w:val="en-GB"/>
        </w:rPr>
        <w:t>H</w:t>
      </w:r>
      <w:r>
        <w:rPr>
          <w:b/>
          <w:bCs/>
          <w:vertAlign w:val="subscript"/>
          <w:lang w:val="en-GB"/>
        </w:rPr>
        <w:t>01</w:t>
      </w:r>
      <w:r>
        <w:rPr>
          <w:b/>
          <w:bCs/>
          <w:lang w:val="en-GB"/>
        </w:rPr>
        <w:t>:</w:t>
      </w:r>
      <w:r>
        <w:rPr>
          <w:lang w:val="en-GB"/>
        </w:rPr>
        <w:t xml:space="preserve"> There is no significant relationship between the income level of a household and pupils’ academic achievement in primary schools in Karaba Zone, </w:t>
      </w:r>
      <w:r>
        <w:rPr>
          <w:lang w:val="en-GB"/>
        </w:rPr>
        <w:t>Mbeere</w:t>
      </w:r>
      <w:r>
        <w:rPr>
          <w:lang w:val="en-GB"/>
        </w:rPr>
        <w:t xml:space="preserve"> South Sub-County.</w:t>
      </w:r>
    </w:p>
    <w:p>
      <w:pPr>
        <w:pStyle w:val="style179"/>
        <w:numPr>
          <w:ilvl w:val="0"/>
          <w:numId w:val="19"/>
        </w:numPr>
        <w:rPr>
          <w:lang w:val="en-GB"/>
        </w:rPr>
      </w:pPr>
      <w:r>
        <w:rPr>
          <w:b/>
          <w:bCs/>
          <w:lang w:val="en-GB"/>
        </w:rPr>
        <w:t>H</w:t>
      </w:r>
      <w:r>
        <w:rPr>
          <w:b/>
          <w:bCs/>
          <w:vertAlign w:val="subscript"/>
          <w:lang w:val="en-GB"/>
        </w:rPr>
        <w:t>02</w:t>
      </w:r>
      <w:r>
        <w:rPr>
          <w:b/>
          <w:bCs/>
          <w:lang w:val="en-GB"/>
        </w:rPr>
        <w:t>:</w:t>
      </w:r>
      <w:r>
        <w:rPr>
          <w:lang w:val="en-GB"/>
        </w:rPr>
        <w:t xml:space="preserve"> There is no significant relationship between the size of a family and pupils’ academic achievement in primary schools in Karaba Zone, </w:t>
      </w:r>
      <w:r>
        <w:rPr>
          <w:lang w:val="en-GB"/>
        </w:rPr>
        <w:t>Mbeere</w:t>
      </w:r>
      <w:r>
        <w:rPr>
          <w:lang w:val="en-GB"/>
        </w:rPr>
        <w:t xml:space="preserve"> South Sub-County.</w:t>
      </w:r>
    </w:p>
    <w:p>
      <w:pPr>
        <w:pStyle w:val="style179"/>
        <w:numPr>
          <w:ilvl w:val="0"/>
          <w:numId w:val="19"/>
        </w:numPr>
        <w:rPr>
          <w:lang w:val="en-GB"/>
        </w:rPr>
      </w:pPr>
      <w:r>
        <w:rPr>
          <w:b/>
          <w:bCs/>
          <w:lang w:val="en-GB"/>
        </w:rPr>
        <w:t>H</w:t>
      </w:r>
      <w:r>
        <w:rPr>
          <w:b/>
          <w:bCs/>
          <w:vertAlign w:val="subscript"/>
          <w:lang w:val="en-GB"/>
        </w:rPr>
        <w:t>03</w:t>
      </w:r>
      <w:r>
        <w:rPr>
          <w:b/>
          <w:bCs/>
          <w:lang w:val="en-GB"/>
        </w:rPr>
        <w:t>:</w:t>
      </w:r>
      <w:r>
        <w:rPr>
          <w:lang w:val="en-GB"/>
        </w:rPr>
        <w:t xml:space="preserve"> There is no significant relationship between parents’ education level and pupils’ academic achievement in primary schools in Karaba Zone, </w:t>
      </w:r>
      <w:r>
        <w:rPr>
          <w:lang w:val="en-GB"/>
        </w:rPr>
        <w:t>Mbeere</w:t>
      </w:r>
      <w:r>
        <w:rPr>
          <w:lang w:val="en-GB"/>
        </w:rPr>
        <w:t xml:space="preserve"> South Sub-County.</w:t>
      </w:r>
    </w:p>
    <w:bookmarkStart w:id="22" w:name="_Toc144283175"/>
    <w:p>
      <w:pPr>
        <w:pStyle w:val="style2"/>
        <w:rPr>
          <w:lang w:val="en-GB"/>
        </w:rPr>
      </w:pPr>
      <w:r>
        <w:rPr>
          <w:lang w:val="en-GB"/>
        </w:rPr>
        <w:t>1.5</w:t>
      </w:r>
      <w:r>
        <w:rPr>
          <w:lang w:val="en-GB"/>
        </w:rPr>
        <w:t xml:space="preserve"> </w:t>
      </w:r>
      <w:r>
        <w:rPr>
          <w:lang w:val="en-GB"/>
        </w:rPr>
        <w:t>Justification</w:t>
      </w:r>
      <w:r>
        <w:rPr>
          <w:lang w:val="en-GB"/>
        </w:rPr>
        <w:t xml:space="preserve"> </w:t>
      </w:r>
      <w:r>
        <w:rPr>
          <w:lang w:val="en-GB"/>
        </w:rPr>
        <w:t>of the study</w:t>
      </w:r>
      <w:bookmarkEnd w:id="22"/>
    </w:p>
    <w:p>
      <w:pPr>
        <w:pStyle w:val="style0"/>
        <w:shd w:val="clear" w:color="auto" w:fill="ffffff"/>
        <w:rPr>
          <w:shd w:val="clear" w:color="auto" w:fill="ffffff"/>
        </w:rPr>
      </w:pPr>
      <w:r>
        <w:rPr>
          <w:shd w:val="clear" w:color="auto" w:fill="ffffff"/>
        </w:rPr>
        <w:t xml:space="preserve">The study justification is firmly rooted in the evident and persistent academic underperformance observed within the Karaba Zone in comparison to the broader </w:t>
      </w:r>
      <w:r>
        <w:rPr>
          <w:shd w:val="clear" w:color="auto" w:fill="ffffff"/>
        </w:rPr>
        <w:t>Mbeere</w:t>
      </w:r>
      <w:r>
        <w:rPr>
          <w:shd w:val="clear" w:color="auto" w:fill="ffffff"/>
        </w:rPr>
        <w:t xml:space="preserve"> South Sub-County. This existing disparity serves as a clear and compelling research problem that demands thorough investigation. The primary objective of this study is to delve into the underlying socioeconomic factors that might be contributing to this disparity. By examining the relationships between household income level, family size, parents’ education level, and pupils’ academic achievement, the study seeks to unearth crucial insights into the dynamics influencing educational outcomes. The research problem of Karaba Zone's lower </w:t>
      </w:r>
      <w:r>
        <w:rPr>
          <w:shd w:val="clear" w:color="auto" w:fill="ffffff"/>
        </w:rPr>
        <w:t>academic achievement</w:t>
      </w:r>
      <w:r>
        <w:rPr>
          <w:shd w:val="clear" w:color="auto" w:fill="ffffff"/>
        </w:rPr>
        <w:t xml:space="preserve"> is not an isolated concern; it reflects broader challenges within the region's educational landscape. As such, the study's objectives are thoughtfully designed to address the specific facets of </w:t>
      </w:r>
      <w:r>
        <w:rPr>
          <w:shd w:val="clear" w:color="auto" w:fill="ffffff"/>
        </w:rPr>
        <w:t>this problem. Exploring how household income, family size, and parental education level impact academic achievement can uncover nuanced patterns and associations that are integral for formulating effective interventions. Furthermore, this study's justification is guided by the overarching aim of promoting equity and improving educational outcomes. By comprehensively investigating the role of socioeconomic factors, the study aims to provide actionable insights that can guide educational policies, interventions, and resource allocation. Understanding the root causes of the academic disparity is a crucial step towards creating a fair and supportive learning environment for all pupils in the Karaba Zone.</w:t>
      </w:r>
    </w:p>
    <w:bookmarkStart w:id="23" w:name="_Toc34470725"/>
    <w:bookmarkStart w:id="24" w:name="_Toc47522643"/>
    <w:bookmarkStart w:id="25" w:name="_Toc144283176"/>
    <w:p>
      <w:pPr>
        <w:pStyle w:val="style2"/>
        <w:rPr/>
      </w:pPr>
      <w:r>
        <w:t>1.6</w:t>
      </w:r>
      <w:r>
        <w:t xml:space="preserve"> </w:t>
      </w:r>
      <w:r>
        <w:t>Assumptions</w:t>
      </w:r>
      <w:bookmarkEnd w:id="23"/>
      <w:bookmarkEnd w:id="24"/>
      <w:bookmarkEnd w:id="25"/>
    </w:p>
    <w:p>
      <w:pPr>
        <w:pStyle w:val="style0"/>
        <w:rPr/>
      </w:pPr>
      <w:r>
        <w:t xml:space="preserve">This study was underpinned by some assumptions that influenced its methodology and interpretation. First, it was assumed that the selected methodology was suitable for investigating the impact of socioeconomic factors on pupils' academic achievement. It was also assumed that the participants involved in the study provided accurate and truthful information during the data collection process, ensuring the reliability and validity of the gathered data. Moreover, the study acknowledged the assumption that examinations served as acceptable measures of </w:t>
      </w:r>
      <w:r>
        <w:t>academic achievement</w:t>
      </w:r>
      <w:r>
        <w:t xml:space="preserve"> and effectively differentiated between pupils of varying abilities.</w:t>
      </w:r>
    </w:p>
    <w:p>
      <w:pPr>
        <w:pStyle w:val="style0"/>
        <w:rPr/>
      </w:pPr>
      <w:r>
        <w:t xml:space="preserve">Additionally, the study assumed that the findings derived from the research were applicable beyond the specific context of Karaba Zone. While the study was focused on this particular region, it was believed that the insights gained had the potential to shed light on broader trends and patterns in education delivery within the country. This assumption was based on the understanding that the socioeconomic factors under investigation were relevant and influential factors across different regions. These assumptions served as foundational principles that guided the design, execution, and interpretation of the study. They provided the necessary framework for addressing the research </w:t>
      </w:r>
      <w:r>
        <w:t>objectives and</w:t>
      </w:r>
      <w:r>
        <w:t xml:space="preserve"> drawing meaningful conclusions about the relationships between socioeconomic factors and pupils' academic achievement in the broader educational landscape.</w:t>
      </w:r>
    </w:p>
    <w:bookmarkStart w:id="26" w:name="_Toc144283177"/>
    <w:p>
      <w:pPr>
        <w:pStyle w:val="style2"/>
        <w:rPr/>
      </w:pPr>
      <w:r>
        <w:t>1.</w:t>
      </w:r>
      <w:r>
        <w:t>7</w:t>
      </w:r>
      <w:r>
        <w:t xml:space="preserve"> </w:t>
      </w:r>
      <w:r>
        <w:t xml:space="preserve">Significance </w:t>
      </w:r>
      <w:r>
        <w:t>of the study</w:t>
      </w:r>
      <w:bookmarkEnd w:id="26"/>
    </w:p>
    <w:p>
      <w:pPr>
        <w:pStyle w:val="style0"/>
        <w:rPr/>
      </w:pPr>
      <w:r>
        <w:t xml:space="preserve">The findings of this study are extremely valuable to various stakeholders in the educational ecosystem. Teachers will gain valuable insights from the study because </w:t>
      </w:r>
      <w:r>
        <w:t>they will be able to implement effective educational reforms that specifically target socioeconomic factors. These findings can help educators tailor their teaching methods to students from various socioeconomic backgrounds, ultimately improving academic achievement levels.</w:t>
      </w:r>
    </w:p>
    <w:p>
      <w:pPr>
        <w:pStyle w:val="style0"/>
        <w:rPr/>
      </w:pPr>
      <w:r>
        <w:t xml:space="preserve">Furthermore, the study's findings have the potential to shape clear procedures and policies within educational institutions. Schools can create an environment conducive to improved performance for students from all socioeconomic backgrounds by incorporating appropriate teaching and learning strategies. Armed with the study's findings, school leaders can work with educational officials and the Ministry of Education to develop comprehensive reforms aimed at addressing the negative effects of socioeconomic factors on </w:t>
      </w:r>
      <w:r>
        <w:t>academic achievement</w:t>
      </w:r>
      <w:r>
        <w:t>.</w:t>
      </w:r>
    </w:p>
    <w:p>
      <w:pPr>
        <w:pStyle w:val="style0"/>
        <w:rPr/>
      </w:pPr>
      <w:r>
        <w:t>The study's significance extends to policymaking at the governmental level. The government can use the research findings to develop and implement policies that promote improved school attendance through the Ministry of Education. Initiatives such as providing bursaries to economically disadvantaged students, for example, can be facilitated, improving access to quality education for all. Parents can benefit from the study's findings as well, as the suggested initiatives can help them actively contribute to their children's academic advancement. Parents can play an important role in enhancing their children's educational progress by participating in these efforts.</w:t>
      </w:r>
    </w:p>
    <w:p>
      <w:pPr>
        <w:pStyle w:val="style0"/>
        <w:rPr/>
      </w:pPr>
      <w:r>
        <w:t>Finally, the study's significance extends beyond its immediate scope by paving the way for future research endeavors. By shedding light on the effects of socioeconomic factors on primary school education, this study serves as a springboard for future researchers interested in delving deeper into this complex relationship. In essence, the study's findings reverberate across the education landscape, empowering teachers, students, school administrators, parents, policymakers, and researchers to make informed decisions and take constructive actions to improve academic achievement in primary schools.</w:t>
      </w:r>
    </w:p>
    <w:bookmarkStart w:id="27" w:name="_Toc144283178"/>
    <w:p>
      <w:pPr>
        <w:pStyle w:val="style2"/>
        <w:rPr/>
      </w:pPr>
      <w:r>
        <w:t xml:space="preserve">1.8 Scope </w:t>
      </w:r>
      <w:r>
        <w:t>of the study</w:t>
      </w:r>
      <w:bookmarkEnd w:id="27"/>
    </w:p>
    <w:p>
      <w:pPr>
        <w:pStyle w:val="style0"/>
        <w:rPr/>
      </w:pPr>
      <w:r>
        <w:t xml:space="preserve">The study's general objective scope was to investigate the relationship between socioeconomic factors and pupils' academic achievement in public primary schools in Karaba Zone, </w:t>
      </w:r>
      <w:r>
        <w:t>Mbeere</w:t>
      </w:r>
      <w:r>
        <w:t xml:space="preserve"> South Sub-County, Kenya. The study's specific objectives were to establish a relationship between a household's income level, family size, and parents' </w:t>
      </w:r>
      <w:r>
        <w:t xml:space="preserve">education level and pupils' academic achievement in primary schools in Karaba Zone, </w:t>
      </w:r>
      <w:r>
        <w:t>Mbeere</w:t>
      </w:r>
      <w:r>
        <w:t xml:space="preserve"> South Sub-County. The geographical scope included Karaba Zone and </w:t>
      </w:r>
      <w:r>
        <w:t>Mbeere</w:t>
      </w:r>
      <w:r>
        <w:t xml:space="preserve"> South Sub-County. The study concentrated on the 14 primary schools in Karaba Zone, allowing for a thorough examination of the interaction between socioeconomic factors and students' academic outcomes in this specific educational context. </w:t>
      </w:r>
    </w:p>
    <w:bookmarkStart w:id="28" w:name="_Toc144283179"/>
    <w:p>
      <w:pPr>
        <w:pStyle w:val="style2"/>
        <w:rPr>
          <w:lang w:val="en-GB"/>
        </w:rPr>
      </w:pPr>
      <w:r>
        <w:rPr>
          <w:lang w:val="en-GB"/>
        </w:rPr>
        <w:t>1.</w:t>
      </w:r>
      <w:r>
        <w:rPr>
          <w:lang w:val="en-GB"/>
        </w:rPr>
        <w:t>9</w:t>
      </w:r>
      <w:r>
        <w:rPr>
          <w:lang w:val="en-GB"/>
        </w:rPr>
        <w:t xml:space="preserve"> </w:t>
      </w:r>
      <w:r>
        <w:rPr>
          <w:lang w:val="en-GB"/>
        </w:rPr>
        <w:t xml:space="preserve">Limitations </w:t>
      </w:r>
      <w:r>
        <w:t>of the study</w:t>
      </w:r>
      <w:bookmarkEnd w:id="28"/>
    </w:p>
    <w:p>
      <w:pPr>
        <w:pStyle w:val="style0"/>
        <w:rPr>
          <w:lang w:val="en-GB"/>
        </w:rPr>
      </w:pPr>
      <w:r>
        <w:rPr>
          <w:lang w:val="en-GB"/>
        </w:rPr>
        <w:t xml:space="preserve">One limitation of the study arose from potential reluctance among respondents to participate due to fears of exposing the situation in their schools. This was mitigated by assuring respondents of their participatory confidentiality, where their contribution was anonymous to protect their identity. Another limitation concerned the reliance on students to provide information on their socioeconomic factors, leading to potential inaccuracies if some students did not fully understand or honestly report their socioeconomic background. The study's focus on socioeconomic factors did not encompass the complex web of additional variables that might have impacted </w:t>
      </w:r>
      <w:r>
        <w:rPr>
          <w:lang w:val="en-GB"/>
        </w:rPr>
        <w:t>academic achievement</w:t>
      </w:r>
      <w:r>
        <w:rPr>
          <w:lang w:val="en-GB"/>
        </w:rPr>
        <w:t>. These uncontrollable factors, such as school resources, teaching and student learning strategies, teachers' competency and adequacy, class size, and school administration, added to the constraints of the study. Though these elements were acknowledged, the research maintained its focus on socioeconomic factors to explore their specific relationship with pupils' academic achievement in the defined region.</w:t>
      </w:r>
    </w:p>
    <w:bookmarkStart w:id="29" w:name="_Toc144283180"/>
    <w:p>
      <w:pPr>
        <w:pStyle w:val="style2"/>
        <w:rPr>
          <w:lang w:val="en-GB"/>
        </w:rPr>
      </w:pPr>
      <w:r>
        <w:rPr>
          <w:lang w:val="en-GB"/>
        </w:rPr>
        <w:t>1.</w:t>
      </w:r>
      <w:r>
        <w:rPr>
          <w:lang w:val="en-GB"/>
        </w:rPr>
        <w:t xml:space="preserve">10 </w:t>
      </w:r>
      <w:r>
        <w:rPr>
          <w:lang w:val="en-GB"/>
        </w:rPr>
        <w:t xml:space="preserve">Delimitations </w:t>
      </w:r>
      <w:r>
        <w:t>of the study</w:t>
      </w:r>
      <w:bookmarkEnd w:id="29"/>
    </w:p>
    <w:p>
      <w:pPr>
        <w:pStyle w:val="style0"/>
        <w:rPr/>
      </w:pPr>
      <w:r>
        <w:t xml:space="preserve">The study was conducted specifically in Karaba Zone, </w:t>
      </w:r>
      <w:r>
        <w:t>Mbeere</w:t>
      </w:r>
      <w:r>
        <w:t xml:space="preserve"> South Sub- County, focusing on a region that had been experiencing a decline in the </w:t>
      </w:r>
      <w:r>
        <w:t>academic achievement</w:t>
      </w:r>
      <w:r>
        <w:t xml:space="preserve"> of pupils. The scope of the research centered on three main socioeconomic factors: household income level, family size, and parents' level of education. Academic achievement was assessed based on mock exam results. The choice of these factors and the geographical boundary of the study was deliberate, reflecting the specific concerns and context of the Karaba Zone.</w:t>
      </w:r>
    </w:p>
    <w:p>
      <w:pPr>
        <w:pStyle w:val="style0"/>
        <w:rPr/>
      </w:pPr>
    </w:p>
    <w:bookmarkStart w:id="30" w:name="_Toc144283181"/>
    <w:p>
      <w:pPr>
        <w:pStyle w:val="style1"/>
        <w:spacing w:lineRule="auto" w:line="480"/>
        <w:rPr/>
      </w:pPr>
      <w:r>
        <w:t>CHAPTER TWO</w:t>
      </w:r>
      <w:bookmarkEnd w:id="30"/>
    </w:p>
    <w:bookmarkStart w:id="31" w:name="_Toc144283182"/>
    <w:p>
      <w:pPr>
        <w:pStyle w:val="style1"/>
        <w:spacing w:lineRule="auto" w:line="480"/>
        <w:rPr/>
      </w:pPr>
      <w:r>
        <w:t>LITERATURE REVIEW</w:t>
      </w:r>
      <w:bookmarkEnd w:id="31"/>
    </w:p>
    <w:bookmarkStart w:id="32" w:name="_Toc144283183"/>
    <w:p>
      <w:pPr>
        <w:pStyle w:val="style2"/>
        <w:rPr/>
      </w:pPr>
      <w:r>
        <w:t>2.</w:t>
      </w:r>
      <w:r>
        <w:t>0</w:t>
      </w:r>
      <w:r>
        <w:t xml:space="preserve"> </w:t>
      </w:r>
      <w:r>
        <w:t>Introduction</w:t>
      </w:r>
      <w:bookmarkEnd w:id="32"/>
    </w:p>
    <w:p>
      <w:pPr>
        <w:pStyle w:val="style0"/>
        <w:rPr/>
      </w:pPr>
      <w:r>
        <w:t>This chapter review</w:t>
      </w:r>
      <w:r>
        <w:t>s</w:t>
      </w:r>
      <w:r>
        <w:t xml:space="preserve"> related literature broken down into, </w:t>
      </w:r>
      <w:r>
        <w:t>pupils’ academic achievement</w:t>
      </w:r>
      <w:r>
        <w:t xml:space="preserve">, </w:t>
      </w:r>
      <w:r>
        <w:t xml:space="preserve">household income level, family size, parents’ level of education and </w:t>
      </w:r>
      <w:r>
        <w:t>academic achievement</w:t>
      </w:r>
      <w:r>
        <w:t>. The chapter also summarizes the literature review. It also present</w:t>
      </w:r>
      <w:r>
        <w:t>ed</w:t>
      </w:r>
      <w:r>
        <w:t xml:space="preserve"> the research’s conceptual and theoretical frameworks.</w:t>
      </w:r>
    </w:p>
    <w:bookmarkStart w:id="33" w:name="_Toc144283184"/>
    <w:p>
      <w:pPr>
        <w:pStyle w:val="style2"/>
        <w:rPr/>
      </w:pPr>
      <w:r>
        <w:t>2.1 P</w:t>
      </w:r>
      <w:r>
        <w:rPr>
          <w:shd w:val="clear" w:color="auto" w:fill="ffffff"/>
        </w:rPr>
        <w:t xml:space="preserve">upils’ </w:t>
      </w:r>
      <w:r>
        <w:t>academic achievement</w:t>
      </w:r>
      <w:bookmarkEnd w:id="33"/>
    </w:p>
    <w:p>
      <w:pPr>
        <w:pStyle w:val="style0"/>
        <w:rPr/>
      </w:pPr>
      <w:r>
        <w:t xml:space="preserve">Academic achievement is a complex issue influenced by a variety of internal and external factors. </w:t>
      </w:r>
      <w:r>
        <w:t>Academic achievement, according to Aga (2022), determines learners' access to secondary and tertiary education, as well as their perceptions of themselves and society. Education produces an educated workforce and well-adjusted citizens capable of competing and cooperating in a global context to achieve superior socioeconomic development (</w:t>
      </w:r>
      <w:r>
        <w:t>Murong'a</w:t>
      </w:r>
      <w:r>
        <w:t xml:space="preserve">, </w:t>
      </w:r>
      <w:r>
        <w:t>Mwoma</w:t>
      </w:r>
      <w:r>
        <w:t xml:space="preserve">, &amp; Ouko, 2020).  Academic achievement refers to a student's level of performance and comprehension in school. Individual factors such as personal motivation and self-efficacy, in addition to familial and institutional influences, contribute to academic success. </w:t>
      </w:r>
    </w:p>
    <w:p>
      <w:pPr>
        <w:pStyle w:val="style0"/>
        <w:rPr/>
      </w:pPr>
      <w:r>
        <w:t xml:space="preserve">Xue, Xuan, Zhang, Li, Jiang, and Wang (2020) indicate that academic achievement is a complex interplay of various factors, and understanding these elements can provide valuable insights for educators, policymakers, and parents. Individual traits like motivation, self-discipline, and a growth mindset often play a crucial role in determining academic success. Students who are intrinsically motivated tend to be more focused and engaged, which often leads to better performance. </w:t>
      </w:r>
      <w:r>
        <w:t xml:space="preserve">According to Finch and Finch (2022), familial support, both emotional and material, is critical for academic success. This viewpoint is shared by Nwadike and </w:t>
      </w:r>
      <w:r>
        <w:t>Pelemo</w:t>
      </w:r>
      <w:r>
        <w:t xml:space="preserve"> (2020), who identify socioeconomic status as a strong predictor of educational achievement, implying that a family's financial and social capital can have a significant impact on a student's academic journey. These socioeconomic factors frequently interact with educational policies and school resources, having a systemic impact on students' academic performance. </w:t>
      </w:r>
    </w:p>
    <w:p>
      <w:pPr>
        <w:pStyle w:val="style0"/>
        <w:rPr/>
      </w:pPr>
      <w:r>
        <w:t>Kudaisi</w:t>
      </w:r>
      <w:r>
        <w:t xml:space="preserve"> and Martins (2020) and Marks and </w:t>
      </w:r>
      <w:r>
        <w:t>Pokropek</w:t>
      </w:r>
      <w:r>
        <w:t xml:space="preserve"> (2019) discover that having access to high-quality teachers, infrastructure, and curricular resources can have a significant impact on academic outcomes</w:t>
      </w:r>
      <w:r>
        <w:t xml:space="preserve">, </w:t>
      </w:r>
      <w:r>
        <w:t>Akessa</w:t>
      </w:r>
      <w:r>
        <w:t xml:space="preserve"> and </w:t>
      </w:r>
      <w:r>
        <w:t>Dhufera</w:t>
      </w:r>
      <w:r>
        <w:t xml:space="preserve"> (2021) </w:t>
      </w:r>
      <w:r>
        <w:t xml:space="preserve">reports that </w:t>
      </w:r>
      <w:r>
        <w:t>stress, anxiety, and other psychological issues can have a detrimental effect on a student's ability to concentrate, retain information, and perform well in exams. Schools that provide a supportive environment and have systems in place for identifying and assisting students with such challenges are better positioned to elevate academic achievement across the board.</w:t>
      </w:r>
    </w:p>
    <w:p>
      <w:pPr>
        <w:pStyle w:val="style0"/>
        <w:rPr/>
      </w:pPr>
      <w:r>
        <w:t>Muchunku</w:t>
      </w:r>
      <w:r>
        <w:t xml:space="preserve"> (2020) and Aga (2022) reports that family background and support weigh heavily in the academic achievement equation. Pupils from families that prioritize education often benefit from a stimulating learning environment at home. This environment can manifest as access to educational resources, constructive feedback, or simply a quiet space to study. The psychological support from parents, like encouragement and setting of reasonable expectations, also makes a significant difference in how well a student performs academically. </w:t>
      </w:r>
      <w:r>
        <w:t>Asain</w:t>
      </w:r>
      <w:r>
        <w:t xml:space="preserve">, </w:t>
      </w:r>
      <w:r>
        <w:t>Fyneboy</w:t>
      </w:r>
      <w:r>
        <w:t xml:space="preserve">, and </w:t>
      </w:r>
      <w:r>
        <w:t>Agulanna</w:t>
      </w:r>
      <w:r>
        <w:t xml:space="preserve"> (2020) show that intrinsic motivation and a positive attitude towards learning can significantly improve academic performance. </w:t>
      </w:r>
      <w:r>
        <w:t>Students from lower socio-economic backgrounds may face challenges that hinder their academic performance, including limited access to educational resources, less parental involvement due to work commitments, and even basic issues like nutrition and health care.</w:t>
      </w:r>
      <w:r>
        <w:t xml:space="preserve"> Thus, p</w:t>
      </w:r>
      <w:r>
        <w:t xml:space="preserve">upils' academic achievement is not the result of a single factor but rather a complex interplay between individual characteristics, family background, school quality, and broader societal influences. </w:t>
      </w:r>
    </w:p>
    <w:bookmarkStart w:id="34" w:name="_Toc144283185"/>
    <w:p>
      <w:pPr>
        <w:pStyle w:val="style2"/>
        <w:rPr/>
      </w:pPr>
      <w:r>
        <w:t>2.</w:t>
      </w:r>
      <w:r>
        <w:t>2</w:t>
      </w:r>
      <w:r>
        <w:t xml:space="preserve"> </w:t>
      </w:r>
      <w:r>
        <w:rPr>
          <w:rFonts w:cs="Times New Roman"/>
        </w:rPr>
        <w:t>H</w:t>
      </w:r>
      <w:r>
        <w:rPr>
          <w:rFonts w:cs="Times New Roman"/>
        </w:rPr>
        <w:t>ousehold income level</w:t>
      </w:r>
      <w:r>
        <w:rPr>
          <w:rFonts w:cs="Times New Roman"/>
        </w:rPr>
        <w:t xml:space="preserve"> and </w:t>
      </w:r>
      <w:r>
        <w:rPr>
          <w:shd w:val="clear" w:color="auto" w:fill="ffffff"/>
        </w:rPr>
        <w:t xml:space="preserve">pupils’ </w:t>
      </w:r>
      <w:r>
        <w:t>academic achievement</w:t>
      </w:r>
      <w:bookmarkEnd w:id="34"/>
    </w:p>
    <w:p>
      <w:pPr>
        <w:pStyle w:val="style0"/>
        <w:rPr>
          <w:rFonts w:cs="Times New Roman"/>
          <w:szCs w:val="24"/>
        </w:rPr>
      </w:pPr>
      <w:r>
        <w:rPr>
          <w:rFonts w:cs="Times New Roman"/>
          <w:szCs w:val="24"/>
        </w:rPr>
        <w:t xml:space="preserve">The study by Finch and Finch (2022) aimed to uncover the intricate interplay between socioeconomic factors and academic achievement. The study used a multilevel mediation approach to investigate the relationships between national funding for public services, economic inequality, educational resource shortages, and family socioeconomic status (SES) and academic achievement. Previous research had found individual links between family SES and </w:t>
      </w:r>
      <w:r>
        <w:rPr>
          <w:rFonts w:cs="Times New Roman"/>
          <w:szCs w:val="24"/>
        </w:rPr>
        <w:t>academic achievement</w:t>
      </w:r>
      <w:r>
        <w:rPr>
          <w:rFonts w:cs="Times New Roman"/>
          <w:szCs w:val="24"/>
        </w:rPr>
        <w:t xml:space="preserve">, but this study looked at how these variables interacted at different levels. Using a partially mediated model, the study discovered direct and indirect relationships between these variables, </w:t>
      </w:r>
      <w:r>
        <w:rPr>
          <w:rFonts w:cs="Times New Roman"/>
          <w:szCs w:val="24"/>
        </w:rPr>
        <w:t>emphasizing the role of school-level resource availability and family SES as mediators. The study's findings highlighted the need for comprehensive educational policies that take a holistic approach to socioeconomic influences on academic achievement, with implications for policymakers and educational reform efforts. The methodology used in the study included multilevel mediation models and data analysis to investigate these relationships in a systematic and comprehensive manner.</w:t>
      </w:r>
    </w:p>
    <w:p>
      <w:pPr>
        <w:pStyle w:val="style0"/>
        <w:rPr>
          <w:rFonts w:cs="Times New Roman"/>
          <w:szCs w:val="24"/>
        </w:rPr>
      </w:pPr>
      <w:r>
        <w:rPr>
          <w:rFonts w:cs="Times New Roman"/>
          <w:szCs w:val="24"/>
        </w:rPr>
        <w:t xml:space="preserve">Nwadike and </w:t>
      </w:r>
      <w:r>
        <w:rPr>
          <w:rFonts w:cs="Times New Roman"/>
          <w:szCs w:val="24"/>
        </w:rPr>
        <w:t>Pelemo</w:t>
      </w:r>
      <w:r>
        <w:rPr>
          <w:rFonts w:cs="Times New Roman"/>
          <w:szCs w:val="24"/>
        </w:rPr>
        <w:t xml:space="preserve"> (2020) conducted a study aimed at examining the predictive role of family's socio-economic status on students' </w:t>
      </w:r>
      <w:r>
        <w:rPr>
          <w:rFonts w:cs="Times New Roman"/>
          <w:szCs w:val="24"/>
        </w:rPr>
        <w:t>academic achievement</w:t>
      </w:r>
      <w:r>
        <w:rPr>
          <w:rFonts w:cs="Times New Roman"/>
          <w:szCs w:val="24"/>
        </w:rPr>
        <w:t xml:space="preserve"> among junior secondary schools in Owerri Education Zone 1, Imo State. Guided by four research questions and hypotheses, the study employed a Correlation survey design. The total population consisted of 21,538 JSS two students from 15 junior secondary schools in Owerri education zone 1, with a sample size of 1,100 drawn according to </w:t>
      </w:r>
      <w:r>
        <w:rPr>
          <w:rFonts w:cs="Times New Roman"/>
          <w:szCs w:val="24"/>
        </w:rPr>
        <w:t>Nwana's</w:t>
      </w:r>
      <w:r>
        <w:rPr>
          <w:rFonts w:cs="Times New Roman"/>
          <w:szCs w:val="24"/>
        </w:rPr>
        <w:t xml:space="preserve"> (1981) recommendation of 5% of the total population. The sample was stratified based on location and place of residence, with a minimum of three schools selected from each local government area. Data were collected using a researcher-structured questionnaire and students' academic records titled "Parents’ Socio-Economic Status Relationship </w:t>
      </w:r>
      <w:r>
        <w:rPr>
          <w:rFonts w:cs="Times New Roman"/>
          <w:szCs w:val="24"/>
        </w:rPr>
        <w:t>With</w:t>
      </w:r>
      <w:r>
        <w:rPr>
          <w:rFonts w:cs="Times New Roman"/>
          <w:szCs w:val="24"/>
        </w:rPr>
        <w:t xml:space="preserve"> Students’ </w:t>
      </w:r>
      <w:r>
        <w:rPr>
          <w:rFonts w:cs="Times New Roman"/>
          <w:szCs w:val="24"/>
        </w:rPr>
        <w:t>Academic achievement</w:t>
      </w:r>
      <w:r>
        <w:rPr>
          <w:rFonts w:cs="Times New Roman"/>
          <w:szCs w:val="24"/>
        </w:rPr>
        <w:t xml:space="preserve">" (PSESRWAP) questionnaire. The instrument's validation and reliability tests yielded a coefficient of 0.89. Research questions were analyzed using Pearson Moment Correlation Coefficient, and hypotheses were tested using t-test. The study found positive correlations between families’ income, area of residence, and family structure with children’s </w:t>
      </w:r>
      <w:r>
        <w:rPr>
          <w:rFonts w:cs="Times New Roman"/>
          <w:szCs w:val="24"/>
        </w:rPr>
        <w:t>academic achievement</w:t>
      </w:r>
      <w:r>
        <w:rPr>
          <w:rFonts w:cs="Times New Roman"/>
          <w:szCs w:val="24"/>
        </w:rPr>
        <w:t xml:space="preserve">. However, a non-significant positive relationship was observed between parents’ level of education and their children’s </w:t>
      </w:r>
      <w:r>
        <w:rPr>
          <w:rFonts w:cs="Times New Roman"/>
          <w:szCs w:val="24"/>
        </w:rPr>
        <w:t>academic achievement</w:t>
      </w:r>
      <w:r>
        <w:rPr>
          <w:rFonts w:cs="Times New Roman"/>
          <w:szCs w:val="24"/>
        </w:rPr>
        <w:t>. Based on these findings, recommendations were made, including the implementation of functional guidance and counseling services in schools to assist students with adaptability challenges from home to school.</w:t>
      </w:r>
    </w:p>
    <w:p>
      <w:pPr>
        <w:pStyle w:val="style0"/>
        <w:rPr>
          <w:rFonts w:cs="Times New Roman"/>
          <w:szCs w:val="24"/>
        </w:rPr>
      </w:pPr>
      <w:r>
        <w:rPr>
          <w:rFonts w:cs="Times New Roman"/>
          <w:szCs w:val="24"/>
        </w:rPr>
        <w:t xml:space="preserve">The study conducted by Xue, Xuan, Zhang, Li, Jiang, and Wang (2020) explores the intricate and interactive connections between family- and school-level socioeconomic status (SES) and the academic achievements of Chinese middle school students, focusing on math and Chinese subjects. The study's sample encompasses 10,784 middle school students from 199 schools, representing both rural and urban regions. Through a two-level multilevel analysis, the research reveals that both family- and school-level SES positively correlate with individual students' achievements in math </w:t>
      </w:r>
      <w:r>
        <w:rPr>
          <w:rFonts w:cs="Times New Roman"/>
          <w:szCs w:val="24"/>
        </w:rPr>
        <w:t>and Chinese subjects. Intriguingly, the study uncovers that school-level SES intensifies the relationship between family SES and students' math achievement in rural schools. In contrast, this interaction between family SES and school SES is not significant within urban regions. These findings underscore the importance of academic support and educational services, particularly for students in low-SES schools and families within rural China, in order to bridge the achievement gap. The study's outcomes contribute valuable insights to the ongoing discourse on socioeconomic factors and academic achievement, emphasizing the nuanced dynamics between family and school influences on students' scholastic success.</w:t>
      </w:r>
    </w:p>
    <w:p>
      <w:pPr>
        <w:pStyle w:val="style0"/>
        <w:rPr>
          <w:rFonts w:cs="Times New Roman"/>
          <w:szCs w:val="24"/>
        </w:rPr>
      </w:pPr>
      <w:r>
        <w:rPr>
          <w:rFonts w:cs="Times New Roman"/>
          <w:szCs w:val="24"/>
        </w:rPr>
        <w:t xml:space="preserve">Family income has a strong relationship with measures of students' academic achievement. Indeed, a family's income level is one of the most important predictors of enrollment in good schools. </w:t>
      </w:r>
      <w:r>
        <w:rPr>
          <w:rFonts w:cs="Times New Roman"/>
          <w:szCs w:val="24"/>
        </w:rPr>
        <w:t>Akessa</w:t>
      </w:r>
      <w:r>
        <w:rPr>
          <w:rFonts w:cs="Times New Roman"/>
          <w:szCs w:val="24"/>
        </w:rPr>
        <w:t xml:space="preserve"> and </w:t>
      </w:r>
      <w:r>
        <w:rPr>
          <w:rFonts w:cs="Times New Roman"/>
          <w:szCs w:val="24"/>
        </w:rPr>
        <w:t>Dhufera</w:t>
      </w:r>
      <w:r>
        <w:rPr>
          <w:rFonts w:cs="Times New Roman"/>
          <w:szCs w:val="24"/>
        </w:rPr>
        <w:t xml:space="preserve"> (</w:t>
      </w:r>
      <w:r>
        <w:rPr>
          <w:rFonts w:cs="Times New Roman"/>
          <w:szCs w:val="24"/>
        </w:rPr>
        <w:t>2021</w:t>
      </w:r>
      <w:r>
        <w:rPr>
          <w:rFonts w:cs="Times New Roman"/>
          <w:szCs w:val="24"/>
        </w:rPr>
        <w:t xml:space="preserve">) demonstrated that students from affluent families outperform those from impoverished families on standardized tests. However, students from impoverished families achieve higher academic achievement when they attend schools and classrooms, despite the fact that the majority of the population is economically privileged. </w:t>
      </w:r>
    </w:p>
    <w:p>
      <w:pPr>
        <w:pStyle w:val="style0"/>
        <w:rPr>
          <w:rFonts w:cs="Times New Roman"/>
          <w:szCs w:val="24"/>
        </w:rPr>
      </w:pPr>
      <w:r>
        <w:rPr>
          <w:rFonts w:cs="Times New Roman"/>
          <w:szCs w:val="24"/>
        </w:rPr>
        <w:t>Akessa</w:t>
      </w:r>
      <w:r>
        <w:rPr>
          <w:rFonts w:cs="Times New Roman"/>
          <w:szCs w:val="24"/>
        </w:rPr>
        <w:t xml:space="preserve"> and </w:t>
      </w:r>
      <w:r>
        <w:rPr>
          <w:rFonts w:cs="Times New Roman"/>
          <w:szCs w:val="24"/>
        </w:rPr>
        <w:t>Dhufera</w:t>
      </w:r>
      <w:r>
        <w:rPr>
          <w:rFonts w:cs="Times New Roman"/>
          <w:szCs w:val="24"/>
        </w:rPr>
        <w:t xml:space="preserve"> (</w:t>
      </w:r>
      <w:r>
        <w:rPr>
          <w:rFonts w:cs="Times New Roman"/>
          <w:szCs w:val="24"/>
        </w:rPr>
        <w:t>2021</w:t>
      </w:r>
      <w:r>
        <w:rPr>
          <w:rFonts w:cs="Times New Roman"/>
          <w:szCs w:val="24"/>
        </w:rPr>
        <w:t xml:space="preserve">) investigated the educational performance of students from low-income families. When the other factors influencing educational achievement were controlled for, they discovered that family income did not significantly predict discrepancy in school performance. However, </w:t>
      </w:r>
      <w:r>
        <w:rPr>
          <w:rFonts w:cs="Times New Roman"/>
          <w:szCs w:val="24"/>
        </w:rPr>
        <w:t>Machebe</w:t>
      </w:r>
      <w:r>
        <w:rPr>
          <w:rFonts w:cs="Times New Roman"/>
          <w:szCs w:val="24"/>
        </w:rPr>
        <w:t xml:space="preserve">, </w:t>
      </w:r>
      <w:r>
        <w:rPr>
          <w:rFonts w:cs="Times New Roman"/>
          <w:szCs w:val="24"/>
        </w:rPr>
        <w:t>Ezegbe</w:t>
      </w:r>
      <w:r>
        <w:rPr>
          <w:rFonts w:cs="Times New Roman"/>
          <w:szCs w:val="24"/>
        </w:rPr>
        <w:t>, and Onuoha (</w:t>
      </w:r>
      <w:r>
        <w:rPr>
          <w:rFonts w:cs="Times New Roman"/>
          <w:szCs w:val="24"/>
        </w:rPr>
        <w:t>2021</w:t>
      </w:r>
      <w:r>
        <w:rPr>
          <w:rFonts w:cs="Times New Roman"/>
          <w:szCs w:val="24"/>
        </w:rPr>
        <w:t xml:space="preserve">) discovered that those children outperform children from financially privileged families in terms of academic achievement. These findings are similar to those of </w:t>
      </w:r>
      <w:r>
        <w:rPr>
          <w:rFonts w:cs="Times New Roman"/>
          <w:szCs w:val="24"/>
        </w:rPr>
        <w:t>Lken</w:t>
      </w:r>
      <w:r>
        <w:rPr>
          <w:rFonts w:cs="Times New Roman"/>
          <w:szCs w:val="24"/>
        </w:rPr>
        <w:t xml:space="preserve"> (</w:t>
      </w:r>
      <w:r>
        <w:rPr>
          <w:rFonts w:cs="Times New Roman"/>
          <w:szCs w:val="24"/>
        </w:rPr>
        <w:t>2020</w:t>
      </w:r>
      <w:r>
        <w:rPr>
          <w:rFonts w:cs="Times New Roman"/>
          <w:szCs w:val="24"/>
        </w:rPr>
        <w:t xml:space="preserve">), who demonstrates that family income influences children's education level, with increasing a family's income improving the education level of that family's children. The phenomenon of the intergenerational education program is not visible, and intergenerational flexibility is ideal. </w:t>
      </w:r>
    </w:p>
    <w:p>
      <w:pPr>
        <w:pStyle w:val="style0"/>
        <w:rPr>
          <w:rFonts w:cs="Times New Roman"/>
          <w:szCs w:val="24"/>
        </w:rPr>
      </w:pPr>
      <w:r>
        <w:rPr>
          <w:rFonts w:cs="Times New Roman"/>
          <w:szCs w:val="24"/>
        </w:rPr>
        <w:t>Kudaisi</w:t>
      </w:r>
      <w:r>
        <w:rPr>
          <w:rFonts w:cs="Times New Roman"/>
          <w:szCs w:val="24"/>
        </w:rPr>
        <w:t xml:space="preserve"> and Martins (</w:t>
      </w:r>
      <w:r>
        <w:rPr>
          <w:rFonts w:cs="Times New Roman"/>
          <w:szCs w:val="24"/>
        </w:rPr>
        <w:t>2020</w:t>
      </w:r>
      <w:r>
        <w:rPr>
          <w:rFonts w:cs="Times New Roman"/>
          <w:szCs w:val="24"/>
        </w:rPr>
        <w:t xml:space="preserve">) investigated the effects of poverty on children's educational attainment in Isua, Akoko South East Local Government, Ondo State, Nigeria, to gain a better understanding of the impact of resource scarcity on children's educational attainment in the region. When people lack the means to meet their basic needs, they are considered to be poor. </w:t>
      </w:r>
      <w:r>
        <w:rPr>
          <w:rFonts w:cs="Times New Roman"/>
          <w:szCs w:val="24"/>
        </w:rPr>
        <w:t>Kudasi</w:t>
      </w:r>
      <w:r>
        <w:rPr>
          <w:rFonts w:cs="Times New Roman"/>
          <w:szCs w:val="24"/>
        </w:rPr>
        <w:t xml:space="preserve"> and Martins (</w:t>
      </w:r>
      <w:r>
        <w:rPr>
          <w:rFonts w:cs="Times New Roman"/>
          <w:szCs w:val="24"/>
        </w:rPr>
        <w:t>2020</w:t>
      </w:r>
      <w:r>
        <w:rPr>
          <w:rFonts w:cs="Times New Roman"/>
          <w:szCs w:val="24"/>
        </w:rPr>
        <w:t xml:space="preserve">) discovered that a </w:t>
      </w:r>
      <w:r>
        <w:rPr>
          <w:rFonts w:cs="Times New Roman"/>
          <w:szCs w:val="24"/>
        </w:rPr>
        <w:t>parent's level of education, students' role models, and parents' autonomous income all have an expressive influence on their educational attainment in Isua-Akoko.</w:t>
      </w:r>
    </w:p>
    <w:p>
      <w:pPr>
        <w:pStyle w:val="style0"/>
        <w:rPr>
          <w:rFonts w:cs="Times New Roman"/>
          <w:szCs w:val="24"/>
        </w:rPr>
      </w:pPr>
      <w:r>
        <w:rPr>
          <w:rFonts w:cs="Times New Roman"/>
          <w:szCs w:val="24"/>
        </w:rPr>
        <w:t>The low earnings of a parent are a major impediment to the academic achievement and development of students from such families. Several socioeconomic factors in students' families and income levels can predict their academic routines (</w:t>
      </w:r>
      <w:r>
        <w:rPr>
          <w:rFonts w:cs="Times New Roman"/>
          <w:szCs w:val="24"/>
        </w:rPr>
        <w:t>Baliyan</w:t>
      </w:r>
      <w:r>
        <w:rPr>
          <w:rFonts w:cs="Times New Roman"/>
          <w:szCs w:val="24"/>
        </w:rPr>
        <w:t xml:space="preserve">, Madhava, &amp; </w:t>
      </w:r>
      <w:r>
        <w:rPr>
          <w:rFonts w:cs="Times New Roman"/>
          <w:szCs w:val="24"/>
        </w:rPr>
        <w:t>Baliyan</w:t>
      </w:r>
      <w:r>
        <w:rPr>
          <w:rFonts w:cs="Times New Roman"/>
          <w:szCs w:val="24"/>
        </w:rPr>
        <w:t xml:space="preserve">, </w:t>
      </w:r>
      <w:r>
        <w:rPr>
          <w:rFonts w:cs="Times New Roman"/>
          <w:szCs w:val="24"/>
        </w:rPr>
        <w:t>2021</w:t>
      </w:r>
      <w:r>
        <w:rPr>
          <w:rFonts w:cs="Times New Roman"/>
          <w:szCs w:val="24"/>
        </w:rPr>
        <w:t xml:space="preserve">). Household income has a significant impact on </w:t>
      </w:r>
      <w:r>
        <w:rPr>
          <w:rFonts w:cs="Times New Roman"/>
          <w:szCs w:val="24"/>
        </w:rPr>
        <w:t>academic achievement</w:t>
      </w:r>
      <w:r>
        <w:rPr>
          <w:rFonts w:cs="Times New Roman"/>
          <w:szCs w:val="24"/>
        </w:rPr>
        <w:t xml:space="preserve"> because it influences the implementation or provision of academic resources. As a result, the resources available in a family are an important indicator of the relationship between socioeconomic status and academic achievement. According to Ali, Hossain, and Aktar (2018), children from impoverished families are more likely to be preoccupied with environmental stressors in their community, such as insecurity due to unsafe neighborhoods, poor housing standards, and violence within their community. These stressors have a negative impact on their </w:t>
      </w:r>
      <w:r>
        <w:rPr>
          <w:rFonts w:cs="Times New Roman"/>
          <w:szCs w:val="24"/>
        </w:rPr>
        <w:t>academic achievement</w:t>
      </w:r>
      <w:r>
        <w:rPr>
          <w:rFonts w:cs="Times New Roman"/>
          <w:szCs w:val="24"/>
        </w:rPr>
        <w:t>.</w:t>
      </w:r>
    </w:p>
    <w:p>
      <w:pPr>
        <w:pStyle w:val="style0"/>
        <w:rPr>
          <w:rFonts w:cs="Times New Roman"/>
          <w:szCs w:val="24"/>
        </w:rPr>
      </w:pPr>
      <w:r>
        <w:rPr>
          <w:rFonts w:cs="Times New Roman"/>
          <w:szCs w:val="24"/>
        </w:rPr>
        <w:t xml:space="preserve">The study by Marks and </w:t>
      </w:r>
      <w:r>
        <w:rPr>
          <w:rFonts w:cs="Times New Roman"/>
          <w:szCs w:val="24"/>
        </w:rPr>
        <w:t>Pokropek</w:t>
      </w:r>
      <w:r>
        <w:rPr>
          <w:rFonts w:cs="Times New Roman"/>
          <w:szCs w:val="24"/>
        </w:rPr>
        <w:t xml:space="preserve"> (2019) investigates the influence of family income on mathematics achievement among students using data collected from the parents’ questionnaire across nine countries participating in the OECD's </w:t>
      </w:r>
      <w:r>
        <w:rPr>
          <w:rFonts w:cs="Times New Roman"/>
          <w:szCs w:val="24"/>
        </w:rPr>
        <w:t>2020</w:t>
      </w:r>
      <w:r>
        <w:rPr>
          <w:rFonts w:cs="Times New Roman"/>
          <w:szCs w:val="24"/>
        </w:rPr>
        <w:t xml:space="preserve"> PISA study. The research highlights noteworthy effects of family income on student achievement in mathematics, which were consistently equal to or larger in magnitude compared to more commonly used indicators of socioeconomic background, such as parents’ education and occupational status. These effects exhibited variation, ranging from weak in Hong Kong and Macau to moderate in Belgium, Chile, and Portugal. In many cases, the effects of family income were even stronger than those associated with parents’ education and occupational status. Intriguingly, the study found no indications that the impact of family income was mediated through cultural resources, household wealth (measured by possessions), or educational resources in any of the countries studied. This implies that the effects of family income predominantly stem from unmeasured factors within families rather than quantifiable resources within the home environment. In Belgium and Portugal, a substantial portion of the family income effect could be attributed to students’ prior knowledge and skills in mathematics. This study contributes significant insights into the multifaceted relationship between family income and mathematics achievement, suggesting the need for a nuanced understanding of the mechanisms through which family income impacts student outcomes and underlining its significance in shaping educational success.</w:t>
      </w:r>
    </w:p>
    <w:p>
      <w:pPr>
        <w:pStyle w:val="style0"/>
        <w:rPr>
          <w:rFonts w:cs="Times New Roman"/>
          <w:szCs w:val="24"/>
        </w:rPr>
      </w:pPr>
      <w:r>
        <w:rPr>
          <w:rFonts w:cs="Times New Roman"/>
          <w:szCs w:val="24"/>
        </w:rPr>
        <w:t>Muchunku</w:t>
      </w:r>
      <w:r>
        <w:rPr>
          <w:rFonts w:cs="Times New Roman"/>
          <w:szCs w:val="24"/>
        </w:rPr>
        <w:t xml:space="preserve"> (2020) explored the impact of selected socioeconomic factors on retention and academic achievement among pupils in public day primary schools in </w:t>
      </w:r>
      <w:r>
        <w:rPr>
          <w:rFonts w:cs="Times New Roman"/>
          <w:szCs w:val="24"/>
        </w:rPr>
        <w:t>Isiolo</w:t>
      </w:r>
      <w:r>
        <w:rPr>
          <w:rFonts w:cs="Times New Roman"/>
          <w:szCs w:val="24"/>
        </w:rPr>
        <w:t xml:space="preserve"> County, Kenya. The study addresses a significant educational challenge in Kenya, characterized by low retention rates and academic achievement in public primary schools within </w:t>
      </w:r>
      <w:r>
        <w:rPr>
          <w:rFonts w:cs="Times New Roman"/>
          <w:szCs w:val="24"/>
        </w:rPr>
        <w:t>Isiolo</w:t>
      </w:r>
      <w:r>
        <w:rPr>
          <w:rFonts w:cs="Times New Roman"/>
          <w:szCs w:val="24"/>
        </w:rPr>
        <w:t xml:space="preserve"> County. The research aims to identify and understand the factors influencing retention and academic achievement, which had been lacking empirical data. Using Abraham Maslow’s Hierarchy of Needs Theory as a framework, the study employs a correlation design that incorporates both quantitative and qualitative techniques through questionnaires for pupils, teachers, and education officers. The study population comprises 4142 respondents, including standard seven teachers, pupils, and education officers in </w:t>
      </w:r>
      <w:r>
        <w:rPr>
          <w:rFonts w:cs="Times New Roman"/>
          <w:szCs w:val="24"/>
        </w:rPr>
        <w:t>Isiolo</w:t>
      </w:r>
      <w:r>
        <w:rPr>
          <w:rFonts w:cs="Times New Roman"/>
          <w:szCs w:val="24"/>
        </w:rPr>
        <w:t xml:space="preserve"> County. The study's results reveal that household income, parental education level, and parental occupation significantly and positively influence both retention and academic achievement. </w:t>
      </w:r>
    </w:p>
    <w:p>
      <w:pPr>
        <w:pStyle w:val="style0"/>
        <w:rPr>
          <w:rFonts w:cs="Times New Roman"/>
          <w:szCs w:val="24"/>
        </w:rPr>
      </w:pPr>
      <w:r>
        <w:rPr>
          <w:rFonts w:cs="Times New Roman"/>
          <w:szCs w:val="24"/>
        </w:rPr>
        <w:t xml:space="preserve">Aga (2022) examined the influence of socioeconomic factors on the retention of boys in public secondary schools in </w:t>
      </w:r>
      <w:r>
        <w:rPr>
          <w:rFonts w:cs="Times New Roman"/>
          <w:szCs w:val="24"/>
        </w:rPr>
        <w:t>Marsabit</w:t>
      </w:r>
      <w:r>
        <w:rPr>
          <w:rFonts w:cs="Times New Roman"/>
          <w:szCs w:val="24"/>
        </w:rPr>
        <w:t xml:space="preserve"> County, Kenya. The study underscores the importance of uninterrupted four-year education supported by adequate resources and relevant assistance. Despite this, Kenya has witnessed high school dropout rates, particularly among boys in public secondary schools. The study's objective is to explore the effects of household income, social support, guardian’s education level, and employment opportunities on boys' retention in </w:t>
      </w:r>
      <w:r>
        <w:rPr>
          <w:rFonts w:cs="Times New Roman"/>
          <w:szCs w:val="24"/>
        </w:rPr>
        <w:t>Marsabit</w:t>
      </w:r>
      <w:r>
        <w:rPr>
          <w:rFonts w:cs="Times New Roman"/>
          <w:szCs w:val="24"/>
        </w:rPr>
        <w:t xml:space="preserve"> County. Guided by the theories of educational productivity and student retention, the research employs a descriptive research design, utilizing both quantitative and qualitative methods for data collection. The study encompasses 8 secondary schools, involving 56 class teachers, 4,559 boys’ students, and 48 parents. The findings reveal that many boys struggle to remain in school due to a lack of motivation from their peers, teachers, and parents. Consequently, the study recommends sensitization programs for teachers, parents, and students, emphasizing the significance of education for their future. The involvement of motivational speakers, successful alumni, and corporate leaders is proposed to inspire boys to excel academically and enhance their prospects for employment. The study suggests that forming groups and clubs for school students to interact with corporations can provide a clearer understanding of the link between education and employment, further fostering their commitment to education.</w:t>
      </w:r>
    </w:p>
    <w:bookmarkStart w:id="35" w:name="_Toc144283186"/>
    <w:p>
      <w:pPr>
        <w:pStyle w:val="style2"/>
        <w:rPr/>
      </w:pPr>
      <w:r>
        <w:t>2.</w:t>
      </w:r>
      <w:r>
        <w:t>3</w:t>
      </w:r>
      <w:r>
        <w:t xml:space="preserve"> </w:t>
      </w:r>
      <w:r>
        <w:rPr>
          <w:rFonts w:cs="Times New Roman"/>
        </w:rPr>
        <w:t>F</w:t>
      </w:r>
      <w:r>
        <w:rPr>
          <w:rFonts w:cs="Times New Roman"/>
        </w:rPr>
        <w:t xml:space="preserve">amily </w:t>
      </w:r>
      <w:r>
        <w:rPr>
          <w:rFonts w:cs="Times New Roman"/>
        </w:rPr>
        <w:t xml:space="preserve">size and </w:t>
      </w:r>
      <w:r>
        <w:rPr>
          <w:shd w:val="clear" w:color="auto" w:fill="ffffff"/>
        </w:rPr>
        <w:t xml:space="preserve">pupils’ </w:t>
      </w:r>
      <w:r>
        <w:t>academic achievement</w:t>
      </w:r>
      <w:bookmarkEnd w:id="35"/>
    </w:p>
    <w:p>
      <w:pPr>
        <w:pStyle w:val="style0"/>
        <w:rPr/>
      </w:pPr>
      <w:r>
        <w:t xml:space="preserve">The research conducted by </w:t>
      </w:r>
      <w:r>
        <w:t>Asain</w:t>
      </w:r>
      <w:r>
        <w:t xml:space="preserve">, </w:t>
      </w:r>
      <w:r>
        <w:t>Fyneboy</w:t>
      </w:r>
      <w:r>
        <w:t xml:space="preserve">, and </w:t>
      </w:r>
      <w:r>
        <w:t>Agulanna</w:t>
      </w:r>
      <w:r>
        <w:t xml:space="preserve"> (2020) aims to explore the correlation between family forms, well-being, and pupils' academic achievement in Bayelsa State. The study is guided by two research questions and two null hypotheses, utilizing a correlation survey design. The population of the study includes 13,256 primary 5 pupils from public primary schools in Yenagoa and </w:t>
      </w:r>
      <w:r>
        <w:t>Ogbia</w:t>
      </w:r>
      <w:r>
        <w:t xml:space="preserve"> education zones in Bayelsa State, consisting of 5,178 males and 7,078 females. The sample size of 320 pupils is selected using proportionate stratified random sampling. The study employs three researcher-made instruments: the Broken Home Childhood Education Questionnaire (BHCEQ), Unbroken Home Childhood Education Questionnaire (UHCEQ), and Wellbeing Childhood Education Questionnaire (WCEQ), with corresponding correlation coefficients of .82, .76, and .71 respectively. Pearson Product Moment Correlation statistics are used for data collection and analysis. The findings demonstrate a significant correlation between family forms, well-being, and pupils’ academic achievement. The educational implication is that the family exerts a significant influence on a child's academic achievement. The study recommends that parents should provide positive family experiences and resources that contribute to pupils' school achievements.</w:t>
      </w:r>
    </w:p>
    <w:p>
      <w:pPr>
        <w:pStyle w:val="style0"/>
        <w:rPr/>
      </w:pPr>
      <w:r>
        <w:t xml:space="preserve">Family size refers to the number of children in a child's family, including themselves. However, a child's family type, whether monogamous or polygamous, has a general impact on the child's </w:t>
      </w:r>
      <w:r>
        <w:t>academic achievement</w:t>
      </w:r>
      <w:r>
        <w:t xml:space="preserve"> (Considine &amp; </w:t>
      </w:r>
      <w:r>
        <w:t>Zappalà</w:t>
      </w:r>
      <w:r>
        <w:t xml:space="preserve">, </w:t>
      </w:r>
      <w:r>
        <w:t>2020</w:t>
      </w:r>
      <w:r>
        <w:t>). It is critical to understand that the size of a family is determined by whether it is polygamous or monogamous, with polygamous families being larger than monogamous families. Children from larger families outperform their smaller counterparts academically.</w:t>
      </w:r>
    </w:p>
    <w:p>
      <w:pPr>
        <w:pStyle w:val="style0"/>
        <w:rPr/>
      </w:pPr>
      <w:r>
        <w:t xml:space="preserve">The research conducted by Maurine, Newton, and Ann (2022) focuses on the impact of family type on the </w:t>
      </w:r>
      <w:r>
        <w:t>academic achievement</w:t>
      </w:r>
      <w:r>
        <w:t xml:space="preserve"> of secondary school students in public secondary schools within Narok South Sub County, Narok County, Kenya. Addressing various factors affecting academic success, the study delves into both internal and external elements, particularly concentrating on family and school-related aspects. The study aims to identify the relationship between family type and students' </w:t>
      </w:r>
      <w:r>
        <w:t>academic achievement</w:t>
      </w:r>
      <w:r>
        <w:t xml:space="preserve">. Adopting Albert Bandura's Social Cognitive Theory from 2002 as the theoretical framework, a descriptive research design is employed. The study's target </w:t>
      </w:r>
      <w:r>
        <w:t xml:space="preserve">population includes 29 public secondary schools, encompassing 1081 form three learners, 232 teachers, and approximately 300 parents. A sample of 9 schools, 137 students, 24 teachers, and 30 parents is selected using simple random and purposive sampling methods. Data collection involves questionnaires for teachers and students and an interview schedule for parents. The instruments are validated by experts, and reliability is determined through the test-retest technique. The data is analyzed descriptively using frequency and percentages, while inferential analysis employs t-tests to establish the correlation between family type and students’ </w:t>
      </w:r>
      <w:r>
        <w:t>academic achievement</w:t>
      </w:r>
      <w:r>
        <w:t xml:space="preserve">. The study's hypothesis is tested using the t-test, revealing that family type has no significant influence on </w:t>
      </w:r>
      <w:r>
        <w:t>academic achievement</w:t>
      </w:r>
      <w:r>
        <w:t xml:space="preserve">. Consequently, the conclusion suggests that family type has limited impact on </w:t>
      </w:r>
      <w:r>
        <w:t>academic achievement</w:t>
      </w:r>
      <w:r>
        <w:t>. The study recommends parental sensitization to actively support their children's education, and further exploration of other family-related factors to provide a comprehensive understanding of their influence. The findings hold potential benefits for school administrators, planners, parents, and students alike.</w:t>
      </w:r>
    </w:p>
    <w:p>
      <w:pPr>
        <w:pStyle w:val="style0"/>
        <w:rPr/>
      </w:pPr>
      <w:r>
        <w:t xml:space="preserve">Lim (2021) conducted a study to explore the impacts of parental involvement and parents' level of education on students' academic achievement. The article focused on the relationship between adolescents' academic accomplishments and both parental involvement and parents' education level. The study employed a quantitative approach and involved middle-class dual-earner parents from eight cities in the United States. The research utilized Spearman's correlation coefficient to assess the correlation between adolescent </w:t>
      </w:r>
      <w:r>
        <w:t>academic achievement</w:t>
      </w:r>
      <w:r>
        <w:t xml:space="preserve"> and parental involvement. Additionally, the Mann–Whitney U test was employed to compare the </w:t>
      </w:r>
      <w:r>
        <w:t>academic achievement</w:t>
      </w:r>
      <w:r>
        <w:t xml:space="preserve"> of children across groups of parents with different educational levels. The findings revealed that children's academic achievement is correlated with specific dimensions of parental involvement. Moreover, the study indicated that children's academic success does not significantly differ among groups of parents with varying education levels, provided that all parents are equally committed to their children's education.</w:t>
      </w:r>
    </w:p>
    <w:p>
      <w:pPr>
        <w:pStyle w:val="style0"/>
        <w:rPr/>
      </w:pPr>
      <w:r>
        <w:t>Similarly, Shen (</w:t>
      </w:r>
      <w:r>
        <w:t>2021</w:t>
      </w:r>
      <w:r>
        <w:t xml:space="preserve">) observed that children from larger families only manage basic education, putting them at a disadvantage in terms of educational attainment. Higher academic achievement has been linked to smaller family formation. Students from smaller families are more likely to receive parental attention and have access to more resources than their counterparts from larger families. The extra attention and support </w:t>
      </w:r>
      <w:r>
        <w:t xml:space="preserve">result in better school performance. Kakumbi, Samuel, and </w:t>
      </w:r>
      <w:r>
        <w:t>Mulendema</w:t>
      </w:r>
      <w:r>
        <w:t xml:space="preserve"> (</w:t>
      </w:r>
      <w:r>
        <w:t>2021</w:t>
      </w:r>
      <w:r>
        <w:t>) investigated pupil upbringing features and educational performance in Kitwe district senior secondary schools in order to recommend ways to improve pupils' performance. The quantitative data analysis revealed a negative relationship between pupil age and family formation.</w:t>
      </w:r>
    </w:p>
    <w:p>
      <w:pPr>
        <w:pStyle w:val="style0"/>
        <w:rPr/>
      </w:pPr>
      <w:r>
        <w:t>Suleman, Aslam, Shakir, Akhtar, Hussain, Akhtar, and Khan (</w:t>
      </w:r>
      <w:r>
        <w:t>2020</w:t>
      </w:r>
      <w:r>
        <w:t xml:space="preserve">) investigated the effects of family structure on students' academic achievement at the basic level and concluded that large family size, where children have many siblings; domestic problems and pressure among family members; near-ground socio-economic status, and failure of parents to participate in their children's education all have a negative impact on their academic attainment. This study's findings are similar to those reported by </w:t>
      </w:r>
      <w:r>
        <w:t>Nato</w:t>
      </w:r>
      <w:r>
        <w:t xml:space="preserve"> (</w:t>
      </w:r>
      <w:r>
        <w:t>2021</w:t>
      </w:r>
      <w:r>
        <w:t>), Noble et al. (</w:t>
      </w:r>
      <w:r>
        <w:t>2021</w:t>
      </w:r>
      <w:r>
        <w:t>), and Khan et al. (</w:t>
      </w:r>
      <w:r>
        <w:t>2021</w:t>
      </w:r>
      <w:r>
        <w:t xml:space="preserve">).; Ella, </w:t>
      </w:r>
      <w:r>
        <w:t>Odok</w:t>
      </w:r>
      <w:r>
        <w:t>, and Ella (</w:t>
      </w:r>
      <w:r>
        <w:t>2021</w:t>
      </w:r>
      <w:r>
        <w:t xml:space="preserve">); </w:t>
      </w:r>
      <w:r>
        <w:t>Egunsola</w:t>
      </w:r>
      <w:r>
        <w:t>, and Isani (</w:t>
      </w:r>
      <w:r>
        <w:t>2020</w:t>
      </w:r>
      <w:r>
        <w:t xml:space="preserve">) discovered that family size, parents' marital status, parents' level of education, and family financial status had a positive correlation with students' </w:t>
      </w:r>
      <w:r>
        <w:t>academic achievement</w:t>
      </w:r>
      <w:r>
        <w:t xml:space="preserve">. Nonetheless, the study findings revealed that, while the parents' marital status was not a significant factor in explaining students' </w:t>
      </w:r>
      <w:r>
        <w:t>academic achievement</w:t>
      </w:r>
      <w:r>
        <w:t>, the family type, cohesive or conflictive, did.</w:t>
      </w:r>
    </w:p>
    <w:p>
      <w:pPr>
        <w:pStyle w:val="style0"/>
        <w:rPr/>
      </w:pPr>
      <w:r>
        <w:t xml:space="preserve">The study by Kaptich, Kiplangat, and Munyua (2019) addresses the relationship between parental involvement in pupils’ educational activities at school and their </w:t>
      </w:r>
      <w:r>
        <w:t>academic achievement</w:t>
      </w:r>
      <w:r>
        <w:t xml:space="preserve"> in </w:t>
      </w:r>
      <w:r>
        <w:t>Ainabkoi</w:t>
      </w:r>
      <w:r>
        <w:t xml:space="preserve"> Sub-County, Kenya. Public schools in Kenya often face challenges with poor results attributed to lack of parental support for their children’s educational activities. While research emphasizes the significance of parental involvement in primary schools for students' mental capacity, social development, and cognitive behavior, the public primary schools in </w:t>
      </w:r>
      <w:r>
        <w:t>Ainabkoi</w:t>
      </w:r>
      <w:r>
        <w:t xml:space="preserve"> sub-county have not fully realized these benefits. The study is based on Type 3 Epstein’s model of the six types of parent involvement developed by Joyce Epstein. The research design used is ex-post facto, with a target population of 2404 Class 8 pupils and 61 class teachers. The study draws a sample of 331 Class eight pupils and 61 teachers using stratified random sampling and census approach, respectively. Data is collected through questionnaires and interview schedules, and analyzed using descriptive and inferential statistics. Descriptive statistics involve percentages and means, while the hypotheses of the study are tested using Chi-square. The findings reveal a positive and significant relationship between parental participation in educational activities at </w:t>
      </w:r>
      <w:r>
        <w:t xml:space="preserve">school and pupils’ </w:t>
      </w:r>
      <w:r>
        <w:t>academic achievement</w:t>
      </w:r>
      <w:r>
        <w:t xml:space="preserve"> in Ainakboi Sub County. Qualitative data is analyzed thematically. The study concludes that parental involvement in educational activities at school has a positive correlation with </w:t>
      </w:r>
      <w:r>
        <w:t>academic achievement</w:t>
      </w:r>
      <w:r>
        <w:t xml:space="preserve">. The recommendation is that the government should develop policies to sensitize parents about involvement in their children’s school activities to enhance their </w:t>
      </w:r>
      <w:r>
        <w:t>academic achievement</w:t>
      </w:r>
      <w:r>
        <w:t>.</w:t>
      </w:r>
    </w:p>
    <w:p>
      <w:pPr>
        <w:pStyle w:val="style0"/>
        <w:rPr/>
      </w:pPr>
      <w:r>
        <w:t xml:space="preserve">The research conducted by </w:t>
      </w:r>
      <w:r>
        <w:t>Murong’a</w:t>
      </w:r>
      <w:r>
        <w:t xml:space="preserve">, </w:t>
      </w:r>
      <w:r>
        <w:t>Mwoma</w:t>
      </w:r>
      <w:r>
        <w:t>, and Ouko (2020) explores the involvement of teenage mothers in their children's acquisition of pre-literacy skills in Kilifi County, Kenya. Early literacy plays a pivotal role in a child’s education, as it serves as the foundation for subsequent learning. While parents are typically a child's first teachers, understanding their role in facilitating pre-literacy skills acquisition is crucial. The study focuses on two main ways of parental involvement: providing resources that promote pre-literacy skills and engaging children in literacy-rich activities. However, there is a lack of research on how teenage mothers, who often rely on their parents for support, can effectively engage in this process. The article presents findings from a study that aims to determine whether teenage mothers are adequately involved in their children’s pre-literacy skills development. Guided by Bronfenbrenner’s Ecological Systems Theory, the research employs a descriptive survey design in Kilifi County, Kenya, involving 115 teenage mothers as participants. Data is collected through questionnaires and interviews, analyzed using both quantitative and qualitative methods. The findings suggest that teenage mothers are not significantly involved in promoting their children's pre-literacy skills. The authors recommend increasing resources allocated to pre-primary schools and encouraging pre-primary school teachers to educate parents, including teenage mothers, about their role in promoting pre-literacy skills acquisition among their children.</w:t>
      </w:r>
    </w:p>
    <w:bookmarkStart w:id="36" w:name="_Toc144283187"/>
    <w:p>
      <w:pPr>
        <w:pStyle w:val="style2"/>
        <w:rPr/>
      </w:pPr>
      <w:r>
        <w:t>2.</w:t>
      </w:r>
      <w:r>
        <w:t>4</w:t>
      </w:r>
      <w:r>
        <w:t xml:space="preserve"> </w:t>
      </w:r>
      <w:r>
        <w:t>P</w:t>
      </w:r>
      <w:r>
        <w:t>arents level of education</w:t>
      </w:r>
      <w:r>
        <w:t xml:space="preserve"> </w:t>
      </w:r>
      <w:r>
        <w:rPr>
          <w:rFonts w:cs="Times New Roman"/>
        </w:rPr>
        <w:t>and</w:t>
      </w:r>
      <w:r>
        <w:rPr>
          <w:shd w:val="clear" w:color="auto" w:fill="ffffff"/>
        </w:rPr>
        <w:t xml:space="preserve"> pupils’</w:t>
      </w:r>
      <w:r>
        <w:rPr>
          <w:rFonts w:cs="Times New Roman"/>
        </w:rPr>
        <w:t xml:space="preserve"> </w:t>
      </w:r>
      <w:r>
        <w:t>academic achievement</w:t>
      </w:r>
      <w:bookmarkEnd w:id="36"/>
    </w:p>
    <w:p>
      <w:pPr>
        <w:pStyle w:val="style0"/>
        <w:rPr>
          <w:rFonts w:cs="Times New Roman"/>
          <w:szCs w:val="24"/>
        </w:rPr>
      </w:pPr>
      <w:r>
        <w:rPr>
          <w:rFonts w:cs="Times New Roman"/>
          <w:szCs w:val="24"/>
        </w:rPr>
        <w:t xml:space="preserve">David, Mwenda, and </w:t>
      </w:r>
      <w:r>
        <w:rPr>
          <w:rFonts w:cs="Times New Roman"/>
          <w:szCs w:val="24"/>
        </w:rPr>
        <w:t>Mathuva</w:t>
      </w:r>
      <w:r>
        <w:rPr>
          <w:rFonts w:cs="Times New Roman"/>
          <w:szCs w:val="24"/>
        </w:rPr>
        <w:t xml:space="preserve"> conducted a study focused on examining the influence of parents' level of education on students' </w:t>
      </w:r>
      <w:r>
        <w:rPr>
          <w:rFonts w:cs="Times New Roman"/>
          <w:szCs w:val="24"/>
        </w:rPr>
        <w:t>academic achievement</w:t>
      </w:r>
      <w:r>
        <w:rPr>
          <w:rFonts w:cs="Times New Roman"/>
          <w:szCs w:val="24"/>
        </w:rPr>
        <w:t xml:space="preserve"> in public secondary schools in Makueni Sub-County. The study aimed to explore how parents' educational background contributes to students' academic achievements. The research was guided by several theories, including Potter Lawler's expectancy theory, Vygotsky's socio-constructivism theory, and Bean's psychological theory. The study aimed to provide </w:t>
      </w:r>
      <w:r>
        <w:rPr>
          <w:rFonts w:cs="Times New Roman"/>
          <w:szCs w:val="24"/>
        </w:rPr>
        <w:t>valuable insights for principals, teachers, parents, and policymakers. The research population included 460 respondents from 20 public secondary schools within the entire geographical area of Makueni Sub-County, Makueni County. The study adopted a descriptive survey design, targeting a sample size of 135 respondents from Makueni Sub-County. The sample included teachers, principals, parents, and students from the sub-county. Data was collected using questionnaires and an interview guide, and the instrument's reliability was established through piloting in two secondary schools. The data analysis employed qualitative methods, including pie charts, bar charts, and graphs. The research findings indicated that students with educated parents performed better academically (55%), educated parents were more serious about their children's education (50%), educated parents provided learning resources to their students (72%), while challenges like students not doing assignments (64%) and withdrawal from class (85%) were also highlighted. The study concluded that parents' educational level directly impacts their students' educational aspirations.</w:t>
      </w:r>
    </w:p>
    <w:p>
      <w:pPr>
        <w:pStyle w:val="style0"/>
        <w:rPr>
          <w:rFonts w:cs="Times New Roman"/>
          <w:szCs w:val="24"/>
        </w:rPr>
      </w:pPr>
      <w:r>
        <w:rPr>
          <w:rFonts w:cs="Times New Roman"/>
          <w:szCs w:val="24"/>
        </w:rPr>
        <w:t>Azhar, Nadeem, Naz, Perveen, and Sameen (</w:t>
      </w:r>
      <w:r>
        <w:rPr>
          <w:rFonts w:cs="Times New Roman"/>
          <w:szCs w:val="24"/>
        </w:rPr>
        <w:t>2020</w:t>
      </w:r>
      <w:r>
        <w:rPr>
          <w:rFonts w:cs="Times New Roman"/>
          <w:szCs w:val="24"/>
        </w:rPr>
        <w:t xml:space="preserve">) conducted a study aimed at investigating the impact of parental education and socio-economic status on the academic achievements of university students. The study focused on understanding how students' </w:t>
      </w:r>
      <w:r>
        <w:rPr>
          <w:rFonts w:cs="Times New Roman"/>
          <w:szCs w:val="24"/>
        </w:rPr>
        <w:t>academic achievement</w:t>
      </w:r>
      <w:r>
        <w:rPr>
          <w:rFonts w:cs="Times New Roman"/>
          <w:szCs w:val="24"/>
        </w:rPr>
        <w:t xml:space="preserve"> is influenced by their parents' educational background and their socio-economic status. The study involved 250 participants who were selected from randomly chosen departments, and the research findings were intended to be generalized to students at the University of Sargodha. The participants were M.A. 3rd level students, and their demographic information included gender, roll number, and department. Data were collected through a questionnaire that included three main variables: parental education, socio-economic status (independent variables), and students' academic achievement (dependent variable). Data analysis revealed that students from a strong financial background tended to perform better academically compared to those facing financial difficulties. Similarly, the study found that higher levels of parental education positively correlated with improved </w:t>
      </w:r>
      <w:r>
        <w:rPr>
          <w:rFonts w:cs="Times New Roman"/>
          <w:szCs w:val="24"/>
        </w:rPr>
        <w:t>academic achievement</w:t>
      </w:r>
      <w:r>
        <w:rPr>
          <w:rFonts w:cs="Times New Roman"/>
          <w:szCs w:val="24"/>
        </w:rPr>
        <w:t xml:space="preserve"> among their children.</w:t>
      </w:r>
    </w:p>
    <w:p>
      <w:pPr>
        <w:pStyle w:val="style0"/>
        <w:rPr>
          <w:rFonts w:cs="Times New Roman"/>
          <w:szCs w:val="24"/>
        </w:rPr>
      </w:pPr>
      <w:r>
        <w:rPr>
          <w:rFonts w:cs="Times New Roman"/>
          <w:szCs w:val="24"/>
        </w:rPr>
        <w:t xml:space="preserve">Effiong, Ndidi, and </w:t>
      </w:r>
      <w:r>
        <w:rPr>
          <w:rFonts w:cs="Times New Roman"/>
          <w:szCs w:val="24"/>
        </w:rPr>
        <w:t>Obogo</w:t>
      </w:r>
      <w:r>
        <w:rPr>
          <w:rFonts w:cs="Times New Roman"/>
          <w:szCs w:val="24"/>
        </w:rPr>
        <w:t xml:space="preserve"> (2020) conducted a study to investigate the correlation between parental socio-economic status and students' motivation to study mathematics in the Education Zone of Cross River State, Nigeria. The research aimed to address two hypotheses through a Correlation Survey research design. A sample of 792 SS 2 </w:t>
      </w:r>
      <w:r>
        <w:rPr>
          <w:rFonts w:cs="Times New Roman"/>
          <w:szCs w:val="24"/>
        </w:rPr>
        <w:t>students was selected from 28 public secondary schools, utilizing stratified and proportionate simple random sampling methods out of a total population of 3,941 students. The study employed a questionnaire titled "Parental Socio-Economic Status and Students' Motivation in Studying Mathematics" for data collection. The questionnaire's reliability was established using the Cronbach Alpha reliability estimate method, resulting in a reliability estimate of .75 and .77. These estimates indicated stability and justified the instrument's use. Pearson Product Moment Correlation Coefficient was applied as the statistical technique to test the hypotheses at a significance level of .05. The findings from the analysis showed a significant correlation between parental income level, educational background, and students' motivation to study mathematics in Cross River State. The study recommends that government support should empower parents with low income to provide essential needs for their children, ultimately enhancing students' motivation to study mathematics.</w:t>
      </w:r>
    </w:p>
    <w:p>
      <w:pPr>
        <w:pStyle w:val="style0"/>
        <w:rPr>
          <w:rFonts w:cs="Times New Roman"/>
          <w:szCs w:val="24"/>
        </w:rPr>
      </w:pPr>
      <w:r>
        <w:rPr>
          <w:rFonts w:cs="Times New Roman"/>
          <w:szCs w:val="24"/>
        </w:rPr>
        <w:t xml:space="preserve">Tahir, Ishfaq, Begum, Shaheen, and Sharjeel (2021) conducted a research study to explore the impact of parental socio-economic status on students' academic achievement at the secondary level. The study aimed to achieve several objectives, including investigating the relationship between parents' socio-economic status and students' achievements, parents' education level and students' </w:t>
      </w:r>
      <w:r>
        <w:rPr>
          <w:rFonts w:cs="Times New Roman"/>
          <w:szCs w:val="24"/>
        </w:rPr>
        <w:t>academic achievement</w:t>
      </w:r>
      <w:r>
        <w:rPr>
          <w:rFonts w:cs="Times New Roman"/>
          <w:szCs w:val="24"/>
        </w:rPr>
        <w:t xml:space="preserve">, parents' income and students' </w:t>
      </w:r>
      <w:r>
        <w:rPr>
          <w:rFonts w:cs="Times New Roman"/>
          <w:szCs w:val="24"/>
        </w:rPr>
        <w:t>academic achievement</w:t>
      </w:r>
      <w:r>
        <w:rPr>
          <w:rFonts w:cs="Times New Roman"/>
          <w:szCs w:val="24"/>
        </w:rPr>
        <w:t xml:space="preserve">, as well as parents' occupation and students' </w:t>
      </w:r>
      <w:r>
        <w:rPr>
          <w:rFonts w:cs="Times New Roman"/>
          <w:szCs w:val="24"/>
        </w:rPr>
        <w:t>academic achievement</w:t>
      </w:r>
      <w:r>
        <w:rPr>
          <w:rFonts w:cs="Times New Roman"/>
          <w:szCs w:val="24"/>
        </w:rPr>
        <w:t xml:space="preserve"> of male and female students (171 students, 50 each) from a secondary school. Data were collected through questionnaires administered to secondary school students. The findings of the study revealed that various factors such as parents' financial status, financial and moral support, socio-economic status, provision of a conducive learning environment at home, and parental incentives all influence student academic achievement. The research concluded that parental sources of income play a crucial role in affecting students' academic achievement. As a recommendation, the study suggests that the government should provide incentives and support to both students and economically disadvantaged families. Strategies like offering free books, stationery, and scholarships are recommended to enhance students' </w:t>
      </w:r>
      <w:r>
        <w:rPr>
          <w:rFonts w:cs="Times New Roman"/>
          <w:szCs w:val="24"/>
        </w:rPr>
        <w:t>academic achievement</w:t>
      </w:r>
      <w:r>
        <w:rPr>
          <w:rFonts w:cs="Times New Roman"/>
          <w:szCs w:val="24"/>
        </w:rPr>
        <w:t>.</w:t>
      </w:r>
    </w:p>
    <w:p>
      <w:pPr>
        <w:pStyle w:val="style0"/>
        <w:rPr>
          <w:rFonts w:cs="Times New Roman"/>
          <w:szCs w:val="24"/>
        </w:rPr>
      </w:pPr>
      <w:r>
        <w:rPr>
          <w:rFonts w:cs="Times New Roman"/>
          <w:szCs w:val="24"/>
        </w:rPr>
        <w:t xml:space="preserve">The educational level of parents may play a significant role in determining a child's </w:t>
      </w:r>
      <w:r>
        <w:rPr>
          <w:rFonts w:cs="Times New Roman"/>
          <w:szCs w:val="24"/>
        </w:rPr>
        <w:t>academic achievement</w:t>
      </w:r>
      <w:r>
        <w:rPr>
          <w:rFonts w:cs="Times New Roman"/>
          <w:szCs w:val="24"/>
        </w:rPr>
        <w:t xml:space="preserve">. Researchers believe that a child's academic achievement may </w:t>
      </w:r>
      <w:r>
        <w:rPr>
          <w:rFonts w:cs="Times New Roman"/>
          <w:szCs w:val="24"/>
        </w:rPr>
        <w:t xml:space="preserve">be influenced by his or her parents' educational level (Castro et al., </w:t>
      </w:r>
      <w:r>
        <w:rPr>
          <w:rFonts w:cs="Times New Roman"/>
          <w:szCs w:val="24"/>
        </w:rPr>
        <w:t>2021</w:t>
      </w:r>
      <w:r>
        <w:rPr>
          <w:rFonts w:cs="Times New Roman"/>
          <w:szCs w:val="24"/>
        </w:rPr>
        <w:t xml:space="preserve">). According to research, parents with higher educational attainment motivate their children's intellectual potential, which may lead to them performing better in school and pursuing higher education (Haveman &amp; Wolfe 1995). Students' </w:t>
      </w:r>
      <w:r>
        <w:rPr>
          <w:rFonts w:cs="Times New Roman"/>
          <w:szCs w:val="24"/>
        </w:rPr>
        <w:t>academic achievement</w:t>
      </w:r>
      <w:r>
        <w:rPr>
          <w:rFonts w:cs="Times New Roman"/>
          <w:szCs w:val="24"/>
        </w:rPr>
        <w:t xml:space="preserve"> may be influenced by their parents' educational level. However, in order for parents to provide positive reinforcement for their children's performance, they must have the means and be aware of the importance of education in order to provide adequate material, moral, and financial support to their children (Kimaro &amp; </w:t>
      </w:r>
      <w:r>
        <w:rPr>
          <w:rFonts w:cs="Times New Roman"/>
          <w:szCs w:val="24"/>
        </w:rPr>
        <w:t>Machumu</w:t>
      </w:r>
      <w:r>
        <w:rPr>
          <w:rFonts w:cs="Times New Roman"/>
          <w:szCs w:val="24"/>
        </w:rPr>
        <w:t xml:space="preserve">, </w:t>
      </w:r>
      <w:r>
        <w:rPr>
          <w:rFonts w:cs="Times New Roman"/>
          <w:szCs w:val="24"/>
        </w:rPr>
        <w:t>2021</w:t>
      </w:r>
      <w:r>
        <w:rPr>
          <w:rFonts w:cs="Times New Roman"/>
          <w:szCs w:val="24"/>
        </w:rPr>
        <w:t xml:space="preserve">). This would allow those to set lofty goals for themselves and pursue them through a variety of means. </w:t>
      </w:r>
    </w:p>
    <w:p>
      <w:pPr>
        <w:pStyle w:val="style0"/>
        <w:rPr>
          <w:rFonts w:cs="Times New Roman"/>
          <w:szCs w:val="24"/>
        </w:rPr>
      </w:pPr>
      <w:r>
        <w:rPr>
          <w:rFonts w:cs="Times New Roman"/>
          <w:szCs w:val="24"/>
        </w:rPr>
        <w:t xml:space="preserve">According to </w:t>
      </w:r>
      <w:r>
        <w:rPr>
          <w:rFonts w:cs="Times New Roman"/>
          <w:szCs w:val="24"/>
        </w:rPr>
        <w:t>Boonk</w:t>
      </w:r>
      <w:r>
        <w:rPr>
          <w:rFonts w:cs="Times New Roman"/>
          <w:szCs w:val="24"/>
        </w:rPr>
        <w:t xml:space="preserve"> et al. (2018), parents' educational level is a good predictor of students' </w:t>
      </w:r>
      <w:r>
        <w:rPr>
          <w:rFonts w:cs="Times New Roman"/>
          <w:szCs w:val="24"/>
        </w:rPr>
        <w:t>academic achievement</w:t>
      </w:r>
      <w:r>
        <w:rPr>
          <w:rFonts w:cs="Times New Roman"/>
          <w:szCs w:val="24"/>
        </w:rPr>
        <w:t xml:space="preserve">. </w:t>
      </w:r>
      <w:r>
        <w:rPr>
          <w:rFonts w:cs="Times New Roman"/>
          <w:szCs w:val="24"/>
        </w:rPr>
        <w:t>Academic achievement</w:t>
      </w:r>
      <w:r>
        <w:rPr>
          <w:rFonts w:cs="Times New Roman"/>
          <w:szCs w:val="24"/>
        </w:rPr>
        <w:t xml:space="preserve"> studies have consistently shown that the education level of parents is critical in projecting children's </w:t>
      </w:r>
      <w:r>
        <w:rPr>
          <w:rFonts w:cs="Times New Roman"/>
          <w:szCs w:val="24"/>
        </w:rPr>
        <w:t>academic achievement</w:t>
      </w:r>
      <w:r>
        <w:rPr>
          <w:rFonts w:cs="Times New Roman"/>
          <w:szCs w:val="24"/>
        </w:rPr>
        <w:t>. According to Amuda and Ali (</w:t>
      </w:r>
      <w:r>
        <w:rPr>
          <w:rFonts w:cs="Times New Roman"/>
          <w:szCs w:val="24"/>
        </w:rPr>
        <w:t>2021</w:t>
      </w:r>
      <w:r>
        <w:rPr>
          <w:rFonts w:cs="Times New Roman"/>
          <w:szCs w:val="24"/>
        </w:rPr>
        <w:t xml:space="preserve">), students' </w:t>
      </w:r>
      <w:r>
        <w:rPr>
          <w:rFonts w:cs="Times New Roman"/>
          <w:szCs w:val="24"/>
        </w:rPr>
        <w:t>academic achievement</w:t>
      </w:r>
      <w:r>
        <w:rPr>
          <w:rFonts w:cs="Times New Roman"/>
          <w:szCs w:val="24"/>
        </w:rPr>
        <w:t xml:space="preserve"> is positively influenced by their parents' educational background. Salameh (</w:t>
      </w:r>
      <w:r>
        <w:rPr>
          <w:rFonts w:cs="Times New Roman"/>
          <w:szCs w:val="24"/>
        </w:rPr>
        <w:t>2020</w:t>
      </w:r>
      <w:r>
        <w:rPr>
          <w:rFonts w:cs="Times New Roman"/>
          <w:szCs w:val="24"/>
        </w:rPr>
        <w:t xml:space="preserve">) found an expressive and positive relationship between parents' education level, income, and occupation, and students' educational behavior. </w:t>
      </w:r>
      <w:r>
        <w:rPr>
          <w:rFonts w:cs="Times New Roman"/>
          <w:szCs w:val="24"/>
        </w:rPr>
        <w:t>Boonk</w:t>
      </w:r>
      <w:r>
        <w:rPr>
          <w:rFonts w:cs="Times New Roman"/>
          <w:szCs w:val="24"/>
        </w:rPr>
        <w:t xml:space="preserve"> et al. (2018) also found a link between parents' educational level and students' instructional performance. </w:t>
      </w:r>
      <w:r>
        <w:rPr>
          <w:rFonts w:cs="Times New Roman"/>
          <w:szCs w:val="24"/>
        </w:rPr>
        <w:t>Ogunshola</w:t>
      </w:r>
      <w:r>
        <w:rPr>
          <w:rFonts w:cs="Times New Roman"/>
          <w:szCs w:val="24"/>
        </w:rPr>
        <w:t xml:space="preserve"> and Adewale (</w:t>
      </w:r>
      <w:r>
        <w:rPr>
          <w:rFonts w:cs="Times New Roman"/>
          <w:szCs w:val="24"/>
        </w:rPr>
        <w:t>2020</w:t>
      </w:r>
      <w:r>
        <w:rPr>
          <w:rFonts w:cs="Times New Roman"/>
          <w:szCs w:val="24"/>
        </w:rPr>
        <w:t xml:space="preserve">), </w:t>
      </w:r>
      <w:r>
        <w:rPr>
          <w:rFonts w:cs="Times New Roman"/>
          <w:szCs w:val="24"/>
        </w:rPr>
        <w:t>Kainuwa</w:t>
      </w:r>
      <w:r>
        <w:rPr>
          <w:rFonts w:cs="Times New Roman"/>
          <w:szCs w:val="24"/>
        </w:rPr>
        <w:t xml:space="preserve"> and Yusuf (</w:t>
      </w:r>
      <w:r>
        <w:rPr>
          <w:rFonts w:cs="Times New Roman"/>
          <w:szCs w:val="24"/>
        </w:rPr>
        <w:t>2020</w:t>
      </w:r>
      <w:r>
        <w:rPr>
          <w:rFonts w:cs="Times New Roman"/>
          <w:szCs w:val="24"/>
        </w:rPr>
        <w:t>), and Farooq, Chaudhry, Shafiq, and Berhanu (</w:t>
      </w:r>
      <w:r>
        <w:rPr>
          <w:rFonts w:cs="Times New Roman"/>
          <w:szCs w:val="24"/>
        </w:rPr>
        <w:t>2020</w:t>
      </w:r>
      <w:r>
        <w:rPr>
          <w:rFonts w:cs="Times New Roman"/>
          <w:szCs w:val="24"/>
        </w:rPr>
        <w:t xml:space="preserve">) have all found that parents' educational level is an expressive predictor of students' </w:t>
      </w:r>
      <w:r>
        <w:rPr>
          <w:rFonts w:cs="Times New Roman"/>
          <w:szCs w:val="24"/>
        </w:rPr>
        <w:t>academic achievement</w:t>
      </w:r>
      <w:r>
        <w:rPr>
          <w:rFonts w:cs="Times New Roman"/>
          <w:szCs w:val="24"/>
        </w:rPr>
        <w:t xml:space="preserve">. Other studies, however, have found no link between parents' educational level and their children's </w:t>
      </w:r>
      <w:r>
        <w:rPr>
          <w:rFonts w:cs="Times New Roman"/>
          <w:szCs w:val="24"/>
        </w:rPr>
        <w:t>academic achievement</w:t>
      </w:r>
      <w:r>
        <w:rPr>
          <w:rFonts w:cs="Times New Roman"/>
          <w:szCs w:val="24"/>
        </w:rPr>
        <w:t xml:space="preserve">. </w:t>
      </w:r>
    </w:p>
    <w:p>
      <w:pPr>
        <w:pStyle w:val="style0"/>
        <w:rPr>
          <w:rFonts w:cs="Times New Roman"/>
          <w:szCs w:val="24"/>
        </w:rPr>
      </w:pPr>
      <w:r>
        <w:rPr>
          <w:rFonts w:cs="Times New Roman"/>
          <w:szCs w:val="24"/>
        </w:rPr>
        <w:t xml:space="preserve">Tantoh (2023) conducted a study with the purpose of investigating the impact of parental level of education on their expectations for their children's academic achievement. The methodology employed a descriptive survey design, with a sample consisting of 100 lower sixth students randomly selected from Government Bilingual High School (GBHS) Down Town and GBHS </w:t>
      </w:r>
      <w:r>
        <w:rPr>
          <w:rFonts w:cs="Times New Roman"/>
          <w:szCs w:val="24"/>
        </w:rPr>
        <w:t>Ntamulung</w:t>
      </w:r>
      <w:r>
        <w:rPr>
          <w:rFonts w:cs="Times New Roman"/>
          <w:szCs w:val="24"/>
        </w:rPr>
        <w:t xml:space="preserve">, along with 50 conveniently selected parents. Data collection utilized questionnaires and interview guides, and data processing involved </w:t>
      </w:r>
      <w:r>
        <w:rPr>
          <w:rFonts w:cs="Times New Roman"/>
          <w:szCs w:val="24"/>
        </w:rPr>
        <w:t>EpiData</w:t>
      </w:r>
      <w:r>
        <w:rPr>
          <w:rFonts w:cs="Times New Roman"/>
          <w:szCs w:val="24"/>
        </w:rPr>
        <w:t xml:space="preserve"> Version 3.1 and SPSS version 21.0 for consistency, validation checks, and statistical analysis. The findings indicated a significant relationship between parents' level of education and their expectations for their children's </w:t>
      </w:r>
      <w:r>
        <w:rPr>
          <w:rFonts w:cs="Times New Roman"/>
          <w:szCs w:val="24"/>
        </w:rPr>
        <w:t>academic achievement</w:t>
      </w:r>
      <w:r>
        <w:rPr>
          <w:rFonts w:cs="Times New Roman"/>
          <w:szCs w:val="24"/>
        </w:rPr>
        <w:t xml:space="preserve">. The study's recommendations highlighted the importance for parents to gain a deeper understanding of their beliefs and expectations regarding their children's education. The study suggested that while parents often have </w:t>
      </w:r>
      <w:r>
        <w:rPr>
          <w:rFonts w:cs="Times New Roman"/>
          <w:szCs w:val="24"/>
        </w:rPr>
        <w:t xml:space="preserve">high academic expectations, they should consider how those expectations align with actual student performance and perceptions of academic competence. </w:t>
      </w:r>
    </w:p>
    <w:bookmarkStart w:id="37" w:name="_Toc144283188"/>
    <w:p>
      <w:pPr>
        <w:pStyle w:val="style2"/>
        <w:rPr/>
      </w:pPr>
      <w:r>
        <w:t>2.</w:t>
      </w:r>
      <w:r>
        <w:t>5</w:t>
      </w:r>
      <w:r>
        <w:t xml:space="preserve"> </w:t>
      </w:r>
      <w:r>
        <w:t xml:space="preserve">Theoretical </w:t>
      </w:r>
      <w:r>
        <w:t>f</w:t>
      </w:r>
      <w:r>
        <w:t>ramework</w:t>
      </w:r>
      <w:bookmarkEnd w:id="37"/>
    </w:p>
    <w:p>
      <w:pPr>
        <w:pStyle w:val="style0"/>
        <w:rPr/>
      </w:pPr>
      <w:r>
        <w:t xml:space="preserve">Herbert Walberg, an American educational psychologist, is a proponent of Walberg's Educational Productivity Theory. This theory was developed by Walberg in 1982 and has been influential in the field of education. According to this theory, schools are the primary source of constructive inspiration for a student's academic success (Walberg, 1982).  Indeed, factors other than the curriculum and instructional approaches and practices contribute to a student's success. Support from the community, psychological characteristics of students, and parental involvement all play important roles in students' academic achievement. Walberg's theory is appropriate for defining the various factors influencing academic achievement (Walberg, 2003). Walberg's theory quantified the importance of the home environment in academic success for students from low-income families. He asserted that the home environment is more important than other factors influencing academic achievement, such as parental education and family income. Schools, in fact, have no control over their parents' education or earnings. They can, however, improve the home environment by refining and collaborating with parents. </w:t>
      </w:r>
    </w:p>
    <w:p>
      <w:pPr>
        <w:pStyle w:val="style0"/>
        <w:rPr/>
      </w:pPr>
      <w:r>
        <w:t>Walberg believes that wealthy families participate in the educational process more than poor families. According to his theory, a student's academic achievement is expressly contingent on parental involvement (Bruinsma &amp; Jansen, 2007). Students must have parental involvement in their educational journey in order to achieve high levels of academic success. Parental involvement in their children's academic work may result in higher grades and test ratings, long-term academic achievement, exemplary behavior, positive attitudes, program success, and more effective learning institutions. The theory demonstrates an expressive link between academic success and socioeconomic contexts in students (Waxman &amp; Walberg, 1986).</w:t>
      </w:r>
    </w:p>
    <w:p>
      <w:pPr>
        <w:pStyle w:val="style0"/>
        <w:rPr/>
      </w:pPr>
      <w:r>
        <w:t xml:space="preserve">The theory was relevant to the current study because the researcher hypothesizes that the parents' level of education, income, and family size influence the student's academic achievement. The relevance of Walberg's (1998) Educational Productivity Theory to the study objectives is evident in its comprehensive framework that addresses various factors influencing academic achievement. According to this theory, </w:t>
      </w:r>
      <w:r>
        <w:t xml:space="preserve">schools are critical sources of positive influence on students' academic success that extend beyond the curriculum and instructional practices. Instead, factors such as community support, students' psychological characteristics, and parental involvement are highlighted as important contributors to academic achievement. Walberg's theory provides a comprehensive view of the many factors that influence students' </w:t>
      </w:r>
      <w:r>
        <w:t>academic achievement</w:t>
      </w:r>
      <w:r>
        <w:t xml:space="preserve"> (Walberg, 2003).</w:t>
      </w:r>
    </w:p>
    <w:p>
      <w:pPr>
        <w:pStyle w:val="style0"/>
        <w:rPr/>
      </w:pPr>
      <w:r>
        <w:t>The suitability of Walberg's theory for the study objectives stems from its specific focus on the intricate factors influencing academic achievement, particularly for students from diverse socioeconomic backgrounds. The theory quantifies the importance of the home environment in students' academic success, particularly those from low-income families. It emphasizes that the home environment has a greater influence on academic achievement than other factors such as parental education and family income. While schools cannot change parents' educational levels or earnings, they can improve academic outcomes by encouraging collaboration with parents to improve the home environment.</w:t>
      </w:r>
    </w:p>
    <w:p>
      <w:pPr>
        <w:pStyle w:val="style0"/>
        <w:rPr/>
      </w:pPr>
      <w:r>
        <w:t>The importance of parental involvement in a student's educational journey is a central tenet of Walberg's theory, which asserts that students' academic success is closely linked to active parental involvement. High levels of parental involvement are associated with improved grades, test scores, long-term academic achievements, positive behavior, attitudes, program success, and the overall effectiveness of educational institutions. The theory emphasizes the role of socioeconomic contexts in students' academic achievements, establishing a critical link between academic success and broader societal factors.</w:t>
      </w:r>
    </w:p>
    <w:p>
      <w:pPr>
        <w:pStyle w:val="style0"/>
        <w:rPr/>
      </w:pPr>
      <w:r>
        <w:t xml:space="preserve">In the context of the current study, Walberg's theory provides a foundation for hypothesizing that parental education, income, family size, and other related factors influence students' academic achievement. The theory is consistent with the study's investigation of how these variables may affect </w:t>
      </w:r>
      <w:r>
        <w:t>academic achievement</w:t>
      </w:r>
      <w:r>
        <w:t>. Using Walberg's framework, the researcher gains valuable insights into the complex interplay between socioeconomic factors and academic outcomes. Finally, Walberg's Educational Productivity Theory adds to the study by providing a solid theoretical foundation for understanding the intricate relationships that shape students' academic achievements in various socioeconomic contexts.</w:t>
      </w:r>
    </w:p>
    <w:bookmarkStart w:id="38" w:name="_Toc144283189"/>
    <w:p>
      <w:pPr>
        <w:pStyle w:val="style2"/>
        <w:rPr/>
      </w:pPr>
      <w:r>
        <w:t>2.</w:t>
      </w:r>
      <w:r>
        <w:t>6</w:t>
      </w:r>
      <w:r>
        <w:t xml:space="preserve"> </w:t>
      </w:r>
      <w:r>
        <w:t>The c</w:t>
      </w:r>
      <w:r>
        <w:t>onceptual framework</w:t>
      </w:r>
      <w:bookmarkEnd w:id="38"/>
    </w:p>
    <w:p>
      <w:pPr>
        <w:pStyle w:val="style0"/>
        <w:rPr>
          <w:szCs w:val="24"/>
        </w:rPr>
      </w:pPr>
      <w:r>
        <w:rPr>
          <w:szCs w:val="24"/>
        </w:rPr>
        <w:t>Robson, (</w:t>
      </w:r>
      <w:r>
        <w:rPr>
          <w:szCs w:val="24"/>
        </w:rPr>
        <w:t>2020</w:t>
      </w:r>
      <w:r>
        <w:rPr>
          <w:szCs w:val="24"/>
        </w:rPr>
        <w:t>)</w:t>
      </w:r>
      <w:r>
        <w:rPr>
          <w:szCs w:val="24"/>
        </w:rPr>
        <w:t xml:space="preserve"> submits that</w:t>
      </w:r>
      <w:r>
        <w:rPr>
          <w:szCs w:val="24"/>
        </w:rPr>
        <w:t xml:space="preserve"> a conceptual framework is a </w:t>
      </w:r>
      <w:r>
        <w:rPr>
          <w:szCs w:val="24"/>
        </w:rPr>
        <w:t>graphic</w:t>
      </w:r>
      <w:r>
        <w:rPr>
          <w:szCs w:val="24"/>
        </w:rPr>
        <w:t xml:space="preserve"> </w:t>
      </w:r>
      <w:r>
        <w:rPr>
          <w:szCs w:val="24"/>
        </w:rPr>
        <w:t>illustration</w:t>
      </w:r>
      <w:r>
        <w:rPr>
          <w:szCs w:val="24"/>
        </w:rPr>
        <w:t xml:space="preserve"> of the relationship among variables or concepts to be studied. Th</w:t>
      </w:r>
      <w:r>
        <w:rPr>
          <w:szCs w:val="24"/>
        </w:rPr>
        <w:t>is study’s</w:t>
      </w:r>
      <w:r>
        <w:rPr>
          <w:szCs w:val="24"/>
        </w:rPr>
        <w:t xml:space="preserve"> conceptual framework is </w:t>
      </w:r>
      <w:r>
        <w:rPr>
          <w:szCs w:val="24"/>
        </w:rPr>
        <w:t xml:space="preserve">illustrated </w:t>
      </w:r>
      <w:r>
        <w:rPr>
          <w:szCs w:val="24"/>
        </w:rPr>
        <w:t>in Figure 2.1.</w:t>
      </w:r>
      <w:r>
        <w:rPr>
          <w:szCs w:val="24"/>
        </w:rPr>
        <w:t xml:space="preserve"> below.</w:t>
      </w:r>
    </w:p>
    <w:p>
      <w:pPr>
        <w:pStyle w:val="style0"/>
        <w:rPr>
          <w:b/>
        </w:rPr>
      </w:pPr>
      <w:r>
        <w:rPr>
          <w:b/>
          <w:szCs w:val="24"/>
        </w:rPr>
        <w:t xml:space="preserve">        </w:t>
      </w:r>
      <w:r>
        <w:rPr>
          <w:b/>
          <w:szCs w:val="24"/>
        </w:rPr>
        <w:t>Independent variables</w:t>
      </w:r>
    </w:p>
    <w:p>
      <w:pPr>
        <w:pStyle w:val="style0"/>
        <w:rPr>
          <w:rFonts w:cs="Times New Roman"/>
          <w:b/>
        </w:rPr>
      </w:pPr>
      <w:r>
        <w:rPr>
          <w:rFonts w:cs="Times New Roman"/>
          <w:b/>
          <w:noProof/>
          <w:szCs w:val="24"/>
        </w:rPr>
      </w:r>
      <w:r>
        <w:rPr>
          <w:rFonts w:cs="Times New Roman"/>
          <w:b/>
          <w:noProof/>
          <w:szCs w:val="24"/>
        </w:rPr>
      </w:r>
      <w:r>
        <w:rPr>
          <w:rFonts w:cs="Times New Roman"/>
          <w:b/>
          <w:noProof/>
          <w:szCs w:val="24"/>
        </w:rPr>
      </w:r>
      <w:r>
        <w:rPr>
          <w:rFonts w:cs="Times New Roman"/>
          <w:b/>
          <w:noProof/>
          <w:szCs w:val="24"/>
        </w:rPr>
        <mc:AlternateContent>
          <mc:Choice Requires="wpc">
            <w:drawing>
              <wp:inline distL="0" distT="0" distB="0" distR="0">
                <wp:extent cx="5943600" cy="3752849"/>
                <wp:effectExtent l="0" t="0" r="0" b="0"/>
                <wp:docPr id="1026" name="Canvas 1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Canvas">
                    <wpc:wpc>
                      <wpc:bg/>
                      <wpc:whole/>
                      <wps:wsp>
                        <wps:cNvSpPr/>
                        <wps:spPr>
                          <a:xfrm rot="0">
                            <a:off x="3705200" y="504826"/>
                            <a:ext cx="1857299" cy="1371600"/>
                          </a:xfrm>
                          <a:prstGeom prst="rect"/>
                          <a:solidFill>
                            <a:srgbClr val="ffffff"/>
                          </a:solidFill>
                          <a:ln cmpd="sng" cap="flat" w="9525">
                            <a:solidFill>
                              <a:srgbClr val="000000"/>
                            </a:solidFill>
                            <a:prstDash val="solid"/>
                            <a:miter/>
                            <a:headEnd len="med" w="med" type="none"/>
                            <a:tailEnd len="med" w="med" type="none"/>
                          </a:ln>
                        </wps:spPr>
                        <wps:txbx id="1028">
                          <w:txbxContent>
                            <w:p>
                              <w:pPr>
                                <w:pStyle w:val="style0"/>
                                <w:spacing w:before="0" w:after="0" w:lineRule="auto" w:line="240"/>
                                <w:jc w:val="left"/>
                                <w:rPr>
                                  <w:b/>
                                  <w:bCs/>
                                </w:rPr>
                              </w:pPr>
                              <w:r>
                                <w:rPr>
                                  <w:b/>
                                  <w:bCs/>
                                  <w:shd w:val="clear" w:color="auto" w:fill="ffffff"/>
                                </w:rPr>
                                <w:t>Pupils’ academic achievement</w:t>
                              </w:r>
                            </w:p>
                            <w:p>
                              <w:pPr>
                                <w:pStyle w:val="style179"/>
                                <w:numPr>
                                  <w:ilvl w:val="0"/>
                                  <w:numId w:val="2"/>
                                </w:numPr>
                                <w:spacing w:before="0" w:after="0" w:lineRule="auto" w:line="240"/>
                                <w:ind w:left="288" w:hanging="144"/>
                                <w:jc w:val="left"/>
                                <w:rPr/>
                              </w:pPr>
                              <w:r>
                                <w:t>Zonal exam performance</w:t>
                              </w:r>
                            </w:p>
                            <w:p>
                              <w:pPr>
                                <w:pStyle w:val="style179"/>
                                <w:numPr>
                                  <w:ilvl w:val="0"/>
                                  <w:numId w:val="2"/>
                                </w:numPr>
                                <w:spacing w:before="0" w:after="0" w:lineRule="auto" w:line="240"/>
                                <w:ind w:left="288" w:hanging="144"/>
                                <w:jc w:val="left"/>
                                <w:rPr/>
                              </w:pPr>
                              <w:r>
                                <w:t>Co-curricular activities</w:t>
                              </w:r>
                            </w:p>
                            <w:p>
                              <w:pPr>
                                <w:pStyle w:val="style179"/>
                                <w:numPr>
                                  <w:ilvl w:val="0"/>
                                  <w:numId w:val="2"/>
                                </w:numPr>
                                <w:spacing w:before="0" w:after="0" w:lineRule="auto" w:line="240"/>
                                <w:ind w:left="288" w:hanging="144"/>
                                <w:jc w:val="left"/>
                                <w:rPr/>
                              </w:pPr>
                              <w:r>
                                <w:t xml:space="preserve">Transition rate to Secondary </w:t>
                              </w:r>
                            </w:p>
                            <w:p>
                              <w:pPr>
                                <w:pStyle w:val="style0"/>
                                <w:spacing w:before="0" w:after="0" w:lineRule="auto" w:line="240"/>
                                <w:ind w:left="360"/>
                                <w:rPr>
                                  <w:bCs/>
                                  <w:szCs w:val="24"/>
                                </w:rPr>
                              </w:pPr>
                            </w:p>
                          </w:txbxContent>
                        </wps:txbx>
                        <wps:bodyPr lIns="91440" rIns="91440" tIns="45720" bIns="45720" vert="horz" anchor="t" wrap="square" upright="true">
                          <a:prstTxWarp prst="textNoShape"/>
                          <a:noAutofit/>
                        </wps:bodyPr>
                      </wps:wsp>
                      <wps:wsp>
                        <wps:cNvSpPr/>
                        <wps:spPr>
                          <a:xfrm rot="0">
                            <a:off x="2545500" y="1346021"/>
                            <a:ext cx="1159700" cy="0"/>
                          </a:xfrm>
                          <a:prstGeom prst="line"/>
                          <a:ln cmpd="sng" cap="flat" w="28575">
                            <a:solidFill>
                              <a:srgbClr val="000000"/>
                            </a:solidFill>
                            <a:prstDash val="solid"/>
                            <a:round/>
                            <a:headEnd len="med" w="med" type="none"/>
                            <a:tailEnd len="med" w="med" type="triangle"/>
                          </a:ln>
                        </wps:spPr>
                        <wps:bodyPr>
                          <a:prstTxWarp prst="textNoShape"/>
                        </wps:bodyPr>
                      </wps:wsp>
                      <wps:wsp>
                        <wps:cNvSpPr/>
                        <wps:spPr>
                          <a:xfrm rot="0">
                            <a:off x="125100" y="2369606"/>
                            <a:ext cx="2145600" cy="1268944"/>
                          </a:xfrm>
                          <a:prstGeom prst="rect"/>
                          <a:solidFill>
                            <a:srgbClr val="ffffff"/>
                          </a:solidFill>
                          <a:ln cmpd="sng" cap="flat" w="9525">
                            <a:solidFill>
                              <a:srgbClr val="000000"/>
                            </a:solidFill>
                            <a:prstDash val="solid"/>
                            <a:miter/>
                            <a:headEnd len="med" w="med" type="none"/>
                            <a:tailEnd len="med" w="med" type="none"/>
                          </a:ln>
                        </wps:spPr>
                        <wps:txbx id="1030">
                          <w:txbxContent>
                            <w:p>
                              <w:pPr>
                                <w:pStyle w:val="style0"/>
                                <w:spacing w:before="0" w:after="0" w:lineRule="auto" w:line="240"/>
                                <w:jc w:val="left"/>
                                <w:rPr>
                                  <w:b/>
                                  <w:bCs/>
                                  <w:szCs w:val="24"/>
                                  <w:lang w:eastAsia="en-GB"/>
                                </w:rPr>
                              </w:pPr>
                              <w:r>
                                <w:rPr>
                                  <w:b/>
                                  <w:bCs/>
                                  <w:szCs w:val="24"/>
                                  <w:lang w:eastAsia="en-GB"/>
                                </w:rPr>
                                <w:t>Parents’ level of education</w:t>
                              </w:r>
                            </w:p>
                            <w:p>
                              <w:pPr>
                                <w:pStyle w:val="style0"/>
                                <w:numPr>
                                  <w:ilvl w:val="0"/>
                                  <w:numId w:val="6"/>
                                </w:numPr>
                                <w:spacing w:before="0" w:after="0" w:lineRule="auto" w:line="240"/>
                                <w:rPr>
                                  <w:szCs w:val="24"/>
                                </w:rPr>
                              </w:pPr>
                              <w:r>
                                <w:rPr>
                                  <w:szCs w:val="24"/>
                                </w:rPr>
                                <w:t>Primary</w:t>
                              </w:r>
                            </w:p>
                            <w:p>
                              <w:pPr>
                                <w:pStyle w:val="style0"/>
                                <w:numPr>
                                  <w:ilvl w:val="0"/>
                                  <w:numId w:val="6"/>
                                </w:numPr>
                                <w:spacing w:before="0" w:after="0" w:lineRule="auto" w:line="240"/>
                                <w:rPr>
                                  <w:szCs w:val="24"/>
                                </w:rPr>
                              </w:pPr>
                              <w:r>
                                <w:rPr>
                                  <w:szCs w:val="24"/>
                                </w:rPr>
                                <w:t>Secondary</w:t>
                              </w:r>
                            </w:p>
                            <w:p>
                              <w:pPr>
                                <w:pStyle w:val="style0"/>
                                <w:numPr>
                                  <w:ilvl w:val="0"/>
                                  <w:numId w:val="6"/>
                                </w:numPr>
                                <w:spacing w:before="0" w:after="0" w:lineRule="auto" w:line="240"/>
                                <w:rPr>
                                  <w:szCs w:val="24"/>
                                </w:rPr>
                              </w:pPr>
                              <w:r>
                                <w:rPr>
                                  <w:szCs w:val="24"/>
                                </w:rPr>
                                <w:t>Higher education</w:t>
                              </w:r>
                            </w:p>
                            <w:p>
                              <w:pPr>
                                <w:pStyle w:val="style0"/>
                                <w:numPr>
                                  <w:ilvl w:val="0"/>
                                  <w:numId w:val="6"/>
                                </w:numPr>
                                <w:spacing w:before="0" w:after="0" w:lineRule="auto" w:line="240"/>
                                <w:rPr>
                                  <w:szCs w:val="24"/>
                                </w:rPr>
                              </w:pPr>
                              <w:r>
                                <w:rPr>
                                  <w:szCs w:val="24"/>
                                </w:rPr>
                                <w:t xml:space="preserve">Tertiary </w:t>
                              </w:r>
                            </w:p>
                            <w:p>
                              <w:pPr>
                                <w:pStyle w:val="style0"/>
                                <w:numPr>
                                  <w:ilvl w:val="0"/>
                                  <w:numId w:val="6"/>
                                </w:numPr>
                                <w:spacing w:before="0" w:after="0" w:lineRule="auto" w:line="240"/>
                                <w:rPr>
                                  <w:szCs w:val="24"/>
                                </w:rPr>
                              </w:pPr>
                              <w:r>
                                <w:rPr>
                                  <w:szCs w:val="24"/>
                                </w:rPr>
                                <w:t>None</w:t>
                              </w:r>
                            </w:p>
                            <w:p>
                              <w:pPr>
                                <w:pStyle w:val="style0"/>
                                <w:spacing w:before="0" w:after="0" w:lineRule="auto" w:line="240"/>
                                <w:ind w:left="90"/>
                                <w:rPr>
                                  <w:szCs w:val="24"/>
                                </w:rPr>
                              </w:pPr>
                            </w:p>
                            <w:p>
                              <w:pPr>
                                <w:pStyle w:val="style0"/>
                                <w:spacing w:lineRule="auto" w:line="240"/>
                                <w:rPr/>
                              </w:pPr>
                            </w:p>
                          </w:txbxContent>
                        </wps:txbx>
                        <wps:bodyPr lIns="91440" rIns="91440" tIns="45720" bIns="45720" vert="horz" anchor="t" wrap="square" upright="true">
                          <a:prstTxWarp prst="textNoShape"/>
                          <a:noAutofit/>
                        </wps:bodyPr>
                      </wps:wsp>
                      <wps:wsp>
                        <wps:cNvSpPr/>
                        <wps:spPr>
                          <a:xfrm rot="0">
                            <a:off x="125100" y="1247775"/>
                            <a:ext cx="2149400" cy="1028700"/>
                          </a:xfrm>
                          <a:prstGeom prst="rect"/>
                          <a:solidFill>
                            <a:srgbClr val="ffffff"/>
                          </a:solidFill>
                          <a:ln cmpd="sng" cap="flat" w="9525">
                            <a:solidFill>
                              <a:srgbClr val="000000"/>
                            </a:solidFill>
                            <a:prstDash val="solid"/>
                            <a:miter/>
                            <a:headEnd len="med" w="med" type="none"/>
                            <a:tailEnd len="med" w="med" type="none"/>
                          </a:ln>
                        </wps:spPr>
                        <wps:txbx id="1031">
                          <w:txbxContent>
                            <w:p>
                              <w:pPr>
                                <w:pStyle w:val="style0"/>
                                <w:spacing w:before="0" w:after="0" w:lineRule="auto" w:line="240"/>
                                <w:rPr>
                                  <w:b/>
                                  <w:bCs/>
                                </w:rPr>
                              </w:pPr>
                              <w:r>
                                <w:rPr>
                                  <w:b/>
                                  <w:bCs/>
                                </w:rPr>
                                <w:t>Family size</w:t>
                              </w:r>
                            </w:p>
                            <w:p>
                              <w:pPr>
                                <w:pStyle w:val="style179"/>
                                <w:numPr>
                                  <w:ilvl w:val="0"/>
                                  <w:numId w:val="4"/>
                                </w:numPr>
                                <w:spacing w:before="0" w:after="0" w:lineRule="auto" w:line="240"/>
                                <w:rPr>
                                  <w:rFonts w:eastAsia="Times New Roman"/>
                                </w:rPr>
                              </w:pPr>
                              <w:r>
                                <w:rPr>
                                  <w:rFonts w:eastAsia="Calibri"/>
                                </w:rPr>
                                <w:t>Strain on resources</w:t>
                              </w:r>
                            </w:p>
                            <w:p>
                              <w:pPr>
                                <w:pStyle w:val="style179"/>
                                <w:numPr>
                                  <w:ilvl w:val="0"/>
                                  <w:numId w:val="4"/>
                                </w:numPr>
                                <w:spacing w:before="0" w:after="0" w:lineRule="auto" w:line="240"/>
                                <w:rPr/>
                              </w:pPr>
                              <w:r>
                                <w:t xml:space="preserve">Large (7-10) </w:t>
                              </w:r>
                            </w:p>
                            <w:p>
                              <w:pPr>
                                <w:pStyle w:val="style179"/>
                                <w:numPr>
                                  <w:ilvl w:val="0"/>
                                  <w:numId w:val="4"/>
                                </w:numPr>
                                <w:spacing w:before="0" w:after="0" w:lineRule="auto" w:line="240"/>
                                <w:rPr/>
                              </w:pPr>
                              <w:r>
                                <w:t>Mid-size (4-6)</w:t>
                              </w:r>
                            </w:p>
                            <w:p>
                              <w:pPr>
                                <w:pStyle w:val="style179"/>
                                <w:numPr>
                                  <w:ilvl w:val="0"/>
                                  <w:numId w:val="4"/>
                                </w:numPr>
                                <w:spacing w:before="0" w:after="0" w:lineRule="auto" w:line="240"/>
                                <w:rPr/>
                              </w:pPr>
                              <w:r>
                                <w:t xml:space="preserve">Small (1-3) </w:t>
                              </w:r>
                            </w:p>
                            <w:p>
                              <w:pPr>
                                <w:pStyle w:val="style0"/>
                                <w:rPr/>
                              </w:pPr>
                            </w:p>
                          </w:txbxContent>
                        </wps:txbx>
                        <wps:bodyPr lIns="91440" rIns="91440" tIns="45720" bIns="45720" vert="horz" anchor="t" wrap="square" upright="true">
                          <a:prstTxWarp prst="textNoShape"/>
                          <a:noAutofit/>
                        </wps:bodyPr>
                      </wps:wsp>
                      <wps:wsp>
                        <wps:cNvSpPr/>
                        <wps:spPr>
                          <a:xfrm rot="0">
                            <a:off x="130200" y="138502"/>
                            <a:ext cx="2146200" cy="1033014"/>
                          </a:xfrm>
                          <a:prstGeom prst="rect"/>
                          <a:solidFill>
                            <a:srgbClr val="ffffff"/>
                          </a:solidFill>
                          <a:ln cmpd="sng" cap="flat" w="9525">
                            <a:solidFill>
                              <a:srgbClr val="000000"/>
                            </a:solidFill>
                            <a:prstDash val="solid"/>
                            <a:miter/>
                            <a:headEnd len="med" w="med" type="none"/>
                            <a:tailEnd len="med" w="med" type="none"/>
                          </a:ln>
                        </wps:spPr>
                        <wps:txbx id="1032">
                          <w:txbxContent>
                            <w:p>
                              <w:pPr>
                                <w:pStyle w:val="style0"/>
                                <w:spacing w:before="0" w:after="0" w:lineRule="auto" w:line="240"/>
                                <w:rPr>
                                  <w:b/>
                                  <w:bCs/>
                                </w:rPr>
                              </w:pPr>
                              <w:r>
                                <w:rPr>
                                  <w:rFonts w:cs="Times New Roman"/>
                                  <w:b/>
                                  <w:bCs/>
                                  <w:szCs w:val="24"/>
                                </w:rPr>
                                <w:t>Household income</w:t>
                              </w:r>
                            </w:p>
                            <w:p>
                              <w:pPr>
                                <w:pStyle w:val="style179"/>
                                <w:numPr>
                                  <w:ilvl w:val="0"/>
                                  <w:numId w:val="5"/>
                                </w:numPr>
                                <w:spacing w:before="0" w:after="0" w:lineRule="auto" w:line="240"/>
                                <w:jc w:val="left"/>
                                <w:rPr/>
                              </w:pPr>
                              <w:r>
                                <w:t>Ability to pay fees</w:t>
                              </w:r>
                            </w:p>
                            <w:p>
                              <w:pPr>
                                <w:pStyle w:val="style179"/>
                                <w:numPr>
                                  <w:ilvl w:val="0"/>
                                  <w:numId w:val="5"/>
                                </w:numPr>
                                <w:spacing w:before="0" w:after="0" w:lineRule="auto" w:line="240"/>
                                <w:jc w:val="left"/>
                                <w:rPr/>
                              </w:pPr>
                              <w:r>
                                <w:t>Ability to purchase learning items</w:t>
                              </w:r>
                            </w:p>
                            <w:p>
                              <w:pPr>
                                <w:pStyle w:val="style179"/>
                                <w:numPr>
                                  <w:ilvl w:val="0"/>
                                  <w:numId w:val="5"/>
                                </w:numPr>
                                <w:spacing w:before="0" w:after="0" w:lineRule="auto" w:line="240"/>
                                <w:jc w:val="left"/>
                                <w:rPr/>
                              </w:pPr>
                              <w:r>
                                <w:t>Food provision</w:t>
                              </w:r>
                            </w:p>
                            <w:p>
                              <w:pPr>
                                <w:pStyle w:val="style0"/>
                                <w:spacing w:before="0" w:after="0" w:lineRule="auto" w:line="240"/>
                                <w:rPr/>
                              </w:pPr>
                            </w:p>
                            <w:p>
                              <w:pPr>
                                <w:pStyle w:val="style0"/>
                                <w:rPr>
                                  <w:b/>
                                </w:rPr>
                              </w:pPr>
                            </w:p>
                          </w:txbxContent>
                        </wps:txbx>
                        <wps:bodyPr lIns="91440" rIns="91440" tIns="45720" bIns="45720" vert="horz" anchor="t" wrap="square" upright="true">
                          <a:prstTxWarp prst="textNoShape"/>
                          <a:noAutofit/>
                        </wps:bodyPr>
                      </wps:wsp>
                      <wps:wsp>
                        <wps:cNvSpPr/>
                        <wps:spPr>
                          <a:xfrm rot="0" flipV="1">
                            <a:off x="2276400" y="1960826"/>
                            <a:ext cx="269200" cy="4400"/>
                          </a:xfrm>
                          <a:prstGeom prst="straightConnector1"/>
                          <a:ln cmpd="sng" cap="flat" w="31750">
                            <a:solidFill>
                              <a:srgbClr val="000000"/>
                            </a:solidFill>
                            <a:prstDash val="solid"/>
                            <a:round/>
                            <a:headEnd len="med" w="med" type="none"/>
                            <a:tailEnd len="med" w="med" type="triangle"/>
                          </a:ln>
                        </wps:spPr>
                        <wps:bodyPr>
                          <a:prstTxWarp prst="textNoShape"/>
                        </wps:bodyPr>
                      </wps:wsp>
                      <wps:wsp>
                        <wps:cNvSpPr/>
                        <wps:spPr>
                          <a:xfrm rot="0">
                            <a:off x="2274500" y="2937539"/>
                            <a:ext cx="271100" cy="600"/>
                          </a:xfrm>
                          <a:prstGeom prst="straightConnector1"/>
                          <a:ln cmpd="sng" cap="flat" w="31750">
                            <a:solidFill>
                              <a:srgbClr val="000000"/>
                            </a:solidFill>
                            <a:prstDash val="solid"/>
                            <a:round/>
                            <a:headEnd len="med" w="med" type="none"/>
                            <a:tailEnd len="med" w="med" type="triangle"/>
                          </a:ln>
                        </wps:spPr>
                        <wps:bodyPr>
                          <a:prstTxWarp prst="textNoShape"/>
                        </wps:bodyPr>
                      </wps:wsp>
                      <wps:wsp>
                        <wps:cNvSpPr/>
                        <wps:spPr>
                          <a:xfrm rot="0" flipV="1">
                            <a:off x="2276400" y="570308"/>
                            <a:ext cx="269800" cy="4500"/>
                          </a:xfrm>
                          <a:prstGeom prst="straightConnector1"/>
                          <a:ln cmpd="sng" cap="flat" w="31750">
                            <a:solidFill>
                              <a:srgbClr val="000000"/>
                            </a:solidFill>
                            <a:prstDash val="solid"/>
                            <a:round/>
                            <a:headEnd len="med" w="med" type="none"/>
                            <a:tailEnd len="med" w="med" type="triangle"/>
                          </a:ln>
                        </wps:spPr>
                        <wps:bodyPr>
                          <a:prstTxWarp prst="textNoShape"/>
                        </wps:bodyPr>
                      </wps:wsp>
                      <wps:wsp>
                        <wps:cNvSpPr/>
                        <wps:spPr>
                          <a:xfrm rot="0">
                            <a:off x="2340700" y="3354045"/>
                            <a:ext cx="800" cy="5200"/>
                          </a:xfrm>
                          <a:prstGeom prst="straightConnector1"/>
                          <a:ln cmpd="sng" cap="flat" w="9525">
                            <a:solidFill>
                              <a:srgbClr val="000000"/>
                            </a:solidFill>
                            <a:prstDash val="solid"/>
                            <a:round/>
                            <a:headEnd len="med" w="med" type="none"/>
                            <a:tailEnd len="med" w="med" type="none"/>
                          </a:ln>
                        </wps:spPr>
                        <wps:bodyPr>
                          <a:prstTxWarp prst="textNoShape"/>
                        </wps:bodyPr>
                      </wps:wsp>
                      <wps:wsp>
                        <wps:cNvSpPr/>
                        <wps:spPr>
                          <a:xfrm rot="0">
                            <a:off x="2545500" y="574808"/>
                            <a:ext cx="700" cy="2362731"/>
                          </a:xfrm>
                          <a:prstGeom prst="straightConnector1"/>
                          <a:ln cmpd="sng" cap="flat" w="31750">
                            <a:solidFill>
                              <a:srgbClr val="000000"/>
                            </a:solidFill>
                            <a:prstDash val="solid"/>
                            <a:round/>
                            <a:headEnd len="med" w="med" type="none"/>
                            <a:tailEnd len="med" w="med" type="none"/>
                          </a:ln>
                        </wps:spPr>
                        <wps:bodyPr>
                          <a:prstTxWarp prst="textNoShape"/>
                        </wps:bodyPr>
                      </wps:wsp>
                      <wps:wsp>
                        <wps:cNvSpPr/>
                        <wps:spPr>
                          <a:xfrm rot="0">
                            <a:off x="2762200" y="2003259"/>
                            <a:ext cx="1638300" cy="1301915"/>
                          </a:xfrm>
                          <a:prstGeom prst="rect"/>
                          <a:solidFill>
                            <a:srgbClr val="ffffff"/>
                          </a:solidFill>
                          <a:ln cmpd="sng" cap="flat" w="25400">
                            <a:solidFill>
                              <a:srgbClr val="000000"/>
                            </a:solidFill>
                            <a:prstDash val="solid"/>
                            <a:miter/>
                            <a:headEnd len="med" w="med" type="none"/>
                            <a:tailEnd len="med" w="med" type="none"/>
                          </a:ln>
                        </wps:spPr>
                        <wps:txbx id="1038">
                          <w:txbxContent>
                            <w:p>
                              <w:pPr>
                                <w:pStyle w:val="style0"/>
                                <w:spacing w:before="0" w:after="0" w:lineRule="auto" w:line="240"/>
                                <w:rPr>
                                  <w:b/>
                                </w:rPr>
                              </w:pPr>
                              <w:r>
                                <w:rPr>
                                  <w:b/>
                                </w:rPr>
                                <w:t>Government intervention</w:t>
                              </w:r>
                            </w:p>
                            <w:p>
                              <w:pPr>
                                <w:pStyle w:val="style179"/>
                                <w:numPr>
                                  <w:ilvl w:val="0"/>
                                  <w:numId w:val="4"/>
                                </w:numPr>
                                <w:spacing w:before="0" w:after="0" w:lineRule="auto" w:line="240"/>
                                <w:ind w:left="288" w:hanging="144"/>
                                <w:jc w:val="left"/>
                                <w:rPr>
                                  <w:rFonts w:eastAsia="Times New Roman"/>
                                </w:rPr>
                              </w:pPr>
                              <w:r>
                                <w:rPr>
                                  <w:rFonts w:eastAsia="Calibri"/>
                                </w:rPr>
                                <w:t xml:space="preserve">Educational funding from </w:t>
                              </w:r>
                              <w:r>
                                <w:rPr>
                                  <w:rFonts w:eastAsia="Calibri"/>
                                </w:rPr>
                                <w:t>eg CDF</w:t>
                              </w:r>
                            </w:p>
                            <w:p>
                              <w:pPr>
                                <w:pStyle w:val="style179"/>
                                <w:numPr>
                                  <w:ilvl w:val="0"/>
                                  <w:numId w:val="4"/>
                                </w:numPr>
                                <w:spacing w:before="0" w:after="0" w:lineRule="auto" w:line="240"/>
                                <w:ind w:left="288" w:hanging="144"/>
                                <w:jc w:val="left"/>
                                <w:rPr/>
                              </w:pPr>
                              <w:r>
                                <w:t>Cut off points</w:t>
                              </w:r>
                            </w:p>
                            <w:p>
                              <w:pPr>
                                <w:pStyle w:val="style179"/>
                                <w:numPr>
                                  <w:ilvl w:val="0"/>
                                  <w:numId w:val="4"/>
                                </w:numPr>
                                <w:spacing w:before="0" w:after="0" w:lineRule="auto" w:line="240"/>
                                <w:ind w:left="288" w:hanging="144"/>
                                <w:jc w:val="left"/>
                                <w:rPr/>
                              </w:pPr>
                              <w:r>
                                <w:t>Affirmative actions</w:t>
                              </w:r>
                            </w:p>
                            <w:p>
                              <w:pPr>
                                <w:pStyle w:val="style0"/>
                                <w:spacing w:before="0" w:after="0" w:lineRule="auto" w:line="240"/>
                                <w:jc w:val="center"/>
                                <w:rPr/>
                              </w:pPr>
                            </w:p>
                          </w:txbxContent>
                        </wps:txbx>
                        <wps:bodyPr lIns="91440" rIns="91440" tIns="45720" bIns="45720" vert="horz" anchor="ctr" wrap="square" upright="true">
                          <a:prstTxWarp prst="textNoShape"/>
                          <a:noAutofit/>
                        </wps:bodyPr>
                      </wps:wsp>
                      <wps:wsp>
                        <wps:cNvSpPr/>
                        <wps:spPr>
                          <a:xfrm rot="0">
                            <a:off x="2762199" y="3354045"/>
                            <a:ext cx="2543225" cy="342905"/>
                          </a:xfrm>
                          <a:prstGeom prst="rect"/>
                          <a:solidFill>
                            <a:srgbClr val="ffffff"/>
                          </a:solidFill>
                          <a:ln>
                            <a:noFill/>
                          </a:ln>
                        </wps:spPr>
                        <wps:txbx id="1039">
                          <w:txbxContent>
                            <w:p>
                              <w:pPr>
                                <w:pStyle w:val="style0"/>
                                <w:spacing w:lineRule="auto" w:line="240"/>
                                <w:rPr>
                                  <w:b/>
                                </w:rPr>
                              </w:pPr>
                              <w:r>
                                <w:rPr>
                                  <w:b/>
                                </w:rPr>
                                <w:t xml:space="preserve">Moderating </w:t>
                              </w:r>
                              <w:r>
                                <w:rPr>
                                  <w:b/>
                                </w:rPr>
                                <w:t>variable</w:t>
                              </w:r>
                            </w:p>
                          </w:txbxContent>
                        </wps:txbx>
                        <wps:bodyPr lIns="91440" rIns="91440" tIns="45720" bIns="45720" vert="horz" anchor="t" wrap="square" upright="true">
                          <a:prstTxWarp prst="textNoShape"/>
                          <a:noAutofit/>
                        </wps:bodyPr>
                      </wps:wsp>
                      <wps:wsp>
                        <wps:cNvSpPr/>
                        <wps:spPr>
                          <a:xfrm rot="0">
                            <a:off x="3952000" y="68652"/>
                            <a:ext cx="1610499" cy="366322"/>
                          </a:xfrm>
                          <a:prstGeom prst="rect"/>
                          <a:solidFill>
                            <a:srgbClr val="ffffff"/>
                          </a:solidFill>
                          <a:ln>
                            <a:noFill/>
                          </a:ln>
                        </wps:spPr>
                        <wps:txbx id="1040">
                          <w:txbxContent>
                            <w:p>
                              <w:pPr>
                                <w:pStyle w:val="style94"/>
                                <w:spacing w:before="120" w:beforeAutospacing="false" w:after="120" w:afterAutospacing="false" w:lineRule="auto" w:line="480"/>
                                <w:jc w:val="both"/>
                                <w:rPr>
                                  <w:b/>
                                </w:rPr>
                              </w:pPr>
                              <w:r>
                                <w:rPr>
                                  <w:rFonts w:eastAsia="Calibri"/>
                                  <w:b/>
                                </w:rPr>
                                <w:t>Dependent variable</w:t>
                              </w:r>
                            </w:p>
                          </w:txbxContent>
                        </wps:txbx>
                        <wps:bodyPr lIns="91440" rIns="91440" tIns="45720" bIns="45720" vert="horz" anchor="t" wrap="square" upright="true">
                          <a:prstTxWarp prst="textNoShape"/>
                          <a:noAutofit/>
                        </wps:bodyPr>
                      </wps:wsp>
                      <wps:wsp>
                        <wps:cNvSpPr/>
                        <wps:spPr>
                          <a:xfrm rot="0" flipV="1">
                            <a:off x="3124200" y="1346021"/>
                            <a:ext cx="0" cy="676309"/>
                          </a:xfrm>
                          <a:prstGeom prst="line"/>
                          <a:ln cmpd="sng" cap="flat" w="28575">
                            <a:solidFill>
                              <a:srgbClr val="000000"/>
                            </a:solidFill>
                            <a:prstDash val="solid"/>
                            <a:round/>
                            <a:headEnd len="med" w="med" type="none"/>
                            <a:tailEnd len="med" w="med" type="triangle"/>
                          </a:ln>
                        </wps:spPr>
                        <wps:bodyPr>
                          <a:prstTxWarp prst="textNoShape"/>
                        </wps:bodyPr>
                      </wps:wsp>
                    </wpc:wpc>
                  </a:graphicData>
                </a:graphic>
              </wp:inline>
            </w:drawing>
          </mc:Choice>
          <mc:Fallback>
            <w:pict>
              <v:group id="1026" filled="f" stroked="f" style="margin-left:0.0pt;margin-top:0.0pt;width:468.0pt;height:295.5pt;mso-wrap-distance-left:0.0pt;mso-wrap-distance-right:0.0pt;visibility:visible;" coordsize="5943600,3752850" editas="canvas">
                <v:shape id="1027" type="#_x0000_t75" filled="f" stroked="f" style="position:absolute;left:0;top:0;width:5943600;height:3752850;z-index:2;mso-position-horizontal-relative:page;mso-position-vertical-relative:page;mso-width-relative:page;mso-height-relative:page;visibility:visible;">
                  <w10:wrap type="square"/>
                  <v:fill/>
                </v:shape>
                <v:rect id="1028" fillcolor="white" stroked="t" style="position:absolute;left:3705200;top:504826;width:1857300;height:1371600;z-index:3;mso-position-horizontal-relative:page;mso-position-vertical-relative:page;mso-width-relative:page;mso-height-relative:page;visibility:visible;">
                  <v:stroke joinstyle="miter"/>
                  <v:fill/>
                  <v:textbox inset="7.2pt,3.6pt,7.2pt,3.6pt">
                    <w:txbxContent>
                      <w:p>
                        <w:pPr>
                          <w:pStyle w:val="style0"/>
                          <w:spacing w:before="0" w:after="0" w:lineRule="auto" w:line="240"/>
                          <w:jc w:val="left"/>
                          <w:rPr>
                            <w:b/>
                            <w:bCs/>
                          </w:rPr>
                        </w:pPr>
                        <w:r>
                          <w:rPr>
                            <w:b/>
                            <w:bCs/>
                            <w:shd w:val="clear" w:color="auto" w:fill="ffffff"/>
                          </w:rPr>
                          <w:t>Pupils’ academic achievement</w:t>
                        </w:r>
                      </w:p>
                      <w:p>
                        <w:pPr>
                          <w:pStyle w:val="style179"/>
                          <w:numPr>
                            <w:ilvl w:val="0"/>
                            <w:numId w:val="2"/>
                          </w:numPr>
                          <w:spacing w:before="0" w:after="0" w:lineRule="auto" w:line="240"/>
                          <w:ind w:left="288" w:hanging="144"/>
                          <w:jc w:val="left"/>
                          <w:rPr/>
                        </w:pPr>
                        <w:r>
                          <w:t>Zonal exam performance</w:t>
                        </w:r>
                      </w:p>
                      <w:p>
                        <w:pPr>
                          <w:pStyle w:val="style179"/>
                          <w:numPr>
                            <w:ilvl w:val="0"/>
                            <w:numId w:val="2"/>
                          </w:numPr>
                          <w:spacing w:before="0" w:after="0" w:lineRule="auto" w:line="240"/>
                          <w:ind w:left="288" w:hanging="144"/>
                          <w:jc w:val="left"/>
                          <w:rPr/>
                        </w:pPr>
                        <w:r>
                          <w:t>Co-curricular activities</w:t>
                        </w:r>
                      </w:p>
                      <w:p>
                        <w:pPr>
                          <w:pStyle w:val="style179"/>
                          <w:numPr>
                            <w:ilvl w:val="0"/>
                            <w:numId w:val="2"/>
                          </w:numPr>
                          <w:spacing w:before="0" w:after="0" w:lineRule="auto" w:line="240"/>
                          <w:ind w:left="288" w:hanging="144"/>
                          <w:jc w:val="left"/>
                          <w:rPr/>
                        </w:pPr>
                        <w:r>
                          <w:t xml:space="preserve">Transition rate to Secondary </w:t>
                        </w:r>
                      </w:p>
                      <w:p>
                        <w:pPr>
                          <w:pStyle w:val="style0"/>
                          <w:spacing w:before="0" w:after="0" w:lineRule="auto" w:line="240"/>
                          <w:ind w:left="360"/>
                          <w:rPr>
                            <w:bCs/>
                            <w:szCs w:val="24"/>
                          </w:rPr>
                        </w:pPr>
                      </w:p>
                    </w:txbxContent>
                  </v:textbox>
                </v:rect>
                <v:line id="1029" filled="f" stroked="t" from="2545500.0pt,1346021.0pt" to="3705200.0pt,1346021.0pt" style="position:absolute;z-index:4;mso-position-horizontal-relative:page;mso-position-vertical-relative:page;mso-width-relative:page;mso-height-relative:page;visibility:visible;">
                  <v:stroke endarrow="block" weight="2.25pt"/>
                  <v:fill/>
                </v:line>
                <v:rect id="1030" fillcolor="white" stroked="t" style="position:absolute;left:125100;top:2369606;width:2145600;height:1268944;z-index:5;mso-position-horizontal-relative:page;mso-position-vertical-relative:page;mso-width-relative:page;mso-height-relative:page;visibility:visible;">
                  <v:stroke joinstyle="miter"/>
                  <v:fill/>
                  <v:textbox inset="7.2pt,3.6pt,7.2pt,3.6pt">
                    <w:txbxContent>
                      <w:p>
                        <w:pPr>
                          <w:pStyle w:val="style0"/>
                          <w:spacing w:before="0" w:after="0" w:lineRule="auto" w:line="240"/>
                          <w:jc w:val="left"/>
                          <w:rPr>
                            <w:b/>
                            <w:bCs/>
                            <w:szCs w:val="24"/>
                            <w:lang w:eastAsia="en-GB"/>
                          </w:rPr>
                        </w:pPr>
                        <w:r>
                          <w:rPr>
                            <w:b/>
                            <w:bCs/>
                            <w:szCs w:val="24"/>
                            <w:lang w:eastAsia="en-GB"/>
                          </w:rPr>
                          <w:t>Parents’ level of education</w:t>
                        </w:r>
                      </w:p>
                      <w:p>
                        <w:pPr>
                          <w:pStyle w:val="style0"/>
                          <w:numPr>
                            <w:ilvl w:val="0"/>
                            <w:numId w:val="6"/>
                          </w:numPr>
                          <w:spacing w:before="0" w:after="0" w:lineRule="auto" w:line="240"/>
                          <w:rPr>
                            <w:szCs w:val="24"/>
                          </w:rPr>
                        </w:pPr>
                        <w:r>
                          <w:rPr>
                            <w:szCs w:val="24"/>
                          </w:rPr>
                          <w:t>Primary</w:t>
                        </w:r>
                      </w:p>
                      <w:p>
                        <w:pPr>
                          <w:pStyle w:val="style0"/>
                          <w:numPr>
                            <w:ilvl w:val="0"/>
                            <w:numId w:val="6"/>
                          </w:numPr>
                          <w:spacing w:before="0" w:after="0" w:lineRule="auto" w:line="240"/>
                          <w:rPr>
                            <w:szCs w:val="24"/>
                          </w:rPr>
                        </w:pPr>
                        <w:r>
                          <w:rPr>
                            <w:szCs w:val="24"/>
                          </w:rPr>
                          <w:t>Secondary</w:t>
                        </w:r>
                      </w:p>
                      <w:p>
                        <w:pPr>
                          <w:pStyle w:val="style0"/>
                          <w:numPr>
                            <w:ilvl w:val="0"/>
                            <w:numId w:val="6"/>
                          </w:numPr>
                          <w:spacing w:before="0" w:after="0" w:lineRule="auto" w:line="240"/>
                          <w:rPr>
                            <w:szCs w:val="24"/>
                          </w:rPr>
                        </w:pPr>
                        <w:r>
                          <w:rPr>
                            <w:szCs w:val="24"/>
                          </w:rPr>
                          <w:t>Higher education</w:t>
                        </w:r>
                      </w:p>
                      <w:p>
                        <w:pPr>
                          <w:pStyle w:val="style0"/>
                          <w:numPr>
                            <w:ilvl w:val="0"/>
                            <w:numId w:val="6"/>
                          </w:numPr>
                          <w:spacing w:before="0" w:after="0" w:lineRule="auto" w:line="240"/>
                          <w:rPr>
                            <w:szCs w:val="24"/>
                          </w:rPr>
                        </w:pPr>
                        <w:r>
                          <w:rPr>
                            <w:szCs w:val="24"/>
                          </w:rPr>
                          <w:t xml:space="preserve">Tertiary </w:t>
                        </w:r>
                      </w:p>
                      <w:p>
                        <w:pPr>
                          <w:pStyle w:val="style0"/>
                          <w:numPr>
                            <w:ilvl w:val="0"/>
                            <w:numId w:val="6"/>
                          </w:numPr>
                          <w:spacing w:before="0" w:after="0" w:lineRule="auto" w:line="240"/>
                          <w:rPr>
                            <w:szCs w:val="24"/>
                          </w:rPr>
                        </w:pPr>
                        <w:r>
                          <w:rPr>
                            <w:szCs w:val="24"/>
                          </w:rPr>
                          <w:t>None</w:t>
                        </w:r>
                      </w:p>
                      <w:p>
                        <w:pPr>
                          <w:pStyle w:val="style0"/>
                          <w:spacing w:before="0" w:after="0" w:lineRule="auto" w:line="240"/>
                          <w:ind w:left="90"/>
                          <w:rPr>
                            <w:szCs w:val="24"/>
                          </w:rPr>
                        </w:pPr>
                      </w:p>
                      <w:p>
                        <w:pPr>
                          <w:pStyle w:val="style0"/>
                          <w:spacing w:lineRule="auto" w:line="240"/>
                          <w:rPr/>
                        </w:pPr>
                      </w:p>
                    </w:txbxContent>
                  </v:textbox>
                </v:rect>
                <v:rect id="1031" fillcolor="white" stroked="t" style="position:absolute;left:125100;top:1247775;width:2149400;height:1028700;z-index:6;mso-position-horizontal-relative:page;mso-position-vertical-relative:page;mso-width-relative:page;mso-height-relative:page;visibility:visible;">
                  <v:stroke joinstyle="miter"/>
                  <v:fill/>
                  <v:textbox inset="7.2pt,3.6pt,7.2pt,3.6pt">
                    <w:txbxContent>
                      <w:p>
                        <w:pPr>
                          <w:pStyle w:val="style0"/>
                          <w:spacing w:before="0" w:after="0" w:lineRule="auto" w:line="240"/>
                          <w:rPr>
                            <w:b/>
                            <w:bCs/>
                          </w:rPr>
                        </w:pPr>
                        <w:r>
                          <w:rPr>
                            <w:b/>
                            <w:bCs/>
                          </w:rPr>
                          <w:t>Family size</w:t>
                        </w:r>
                      </w:p>
                      <w:p>
                        <w:pPr>
                          <w:pStyle w:val="style179"/>
                          <w:numPr>
                            <w:ilvl w:val="0"/>
                            <w:numId w:val="4"/>
                          </w:numPr>
                          <w:spacing w:before="0" w:after="0" w:lineRule="auto" w:line="240"/>
                          <w:rPr>
                            <w:rFonts w:eastAsia="Times New Roman"/>
                          </w:rPr>
                        </w:pPr>
                        <w:r>
                          <w:rPr>
                            <w:rFonts w:eastAsia="Calibri"/>
                          </w:rPr>
                          <w:t>Strain on resources</w:t>
                        </w:r>
                      </w:p>
                      <w:p>
                        <w:pPr>
                          <w:pStyle w:val="style179"/>
                          <w:numPr>
                            <w:ilvl w:val="0"/>
                            <w:numId w:val="4"/>
                          </w:numPr>
                          <w:spacing w:before="0" w:after="0" w:lineRule="auto" w:line="240"/>
                          <w:rPr/>
                        </w:pPr>
                        <w:r>
                          <w:t xml:space="preserve">Large (7-10) </w:t>
                        </w:r>
                      </w:p>
                      <w:p>
                        <w:pPr>
                          <w:pStyle w:val="style179"/>
                          <w:numPr>
                            <w:ilvl w:val="0"/>
                            <w:numId w:val="4"/>
                          </w:numPr>
                          <w:spacing w:before="0" w:after="0" w:lineRule="auto" w:line="240"/>
                          <w:rPr/>
                        </w:pPr>
                        <w:r>
                          <w:t>Mid-size (4-6)</w:t>
                        </w:r>
                      </w:p>
                      <w:p>
                        <w:pPr>
                          <w:pStyle w:val="style179"/>
                          <w:numPr>
                            <w:ilvl w:val="0"/>
                            <w:numId w:val="4"/>
                          </w:numPr>
                          <w:spacing w:before="0" w:after="0" w:lineRule="auto" w:line="240"/>
                          <w:rPr/>
                        </w:pPr>
                        <w:r>
                          <w:t xml:space="preserve">Small (1-3) </w:t>
                        </w:r>
                      </w:p>
                      <w:p>
                        <w:pPr>
                          <w:pStyle w:val="style0"/>
                          <w:rPr/>
                        </w:pPr>
                      </w:p>
                    </w:txbxContent>
                  </v:textbox>
                </v:rect>
                <v:rect id="1032" fillcolor="white" stroked="t" style="position:absolute;left:130200;top:138502;width:2146200;height:1033014;z-index:7;mso-position-horizontal-relative:page;mso-position-vertical-relative:page;mso-width-relative:page;mso-height-relative:page;visibility:visible;">
                  <v:stroke joinstyle="miter"/>
                  <v:fill/>
                  <v:textbox inset="7.2pt,3.6pt,7.2pt,3.6pt">
                    <w:txbxContent>
                      <w:p>
                        <w:pPr>
                          <w:pStyle w:val="style0"/>
                          <w:spacing w:before="0" w:after="0" w:lineRule="auto" w:line="240"/>
                          <w:rPr>
                            <w:b/>
                            <w:bCs/>
                          </w:rPr>
                        </w:pPr>
                        <w:r>
                          <w:rPr>
                            <w:rFonts w:cs="Times New Roman"/>
                            <w:b/>
                            <w:bCs/>
                            <w:szCs w:val="24"/>
                          </w:rPr>
                          <w:t>Household income</w:t>
                        </w:r>
                      </w:p>
                      <w:p>
                        <w:pPr>
                          <w:pStyle w:val="style179"/>
                          <w:numPr>
                            <w:ilvl w:val="0"/>
                            <w:numId w:val="5"/>
                          </w:numPr>
                          <w:spacing w:before="0" w:after="0" w:lineRule="auto" w:line="240"/>
                          <w:jc w:val="left"/>
                          <w:rPr/>
                        </w:pPr>
                        <w:r>
                          <w:t>Ability to pay fees</w:t>
                        </w:r>
                      </w:p>
                      <w:p>
                        <w:pPr>
                          <w:pStyle w:val="style179"/>
                          <w:numPr>
                            <w:ilvl w:val="0"/>
                            <w:numId w:val="5"/>
                          </w:numPr>
                          <w:spacing w:before="0" w:after="0" w:lineRule="auto" w:line="240"/>
                          <w:jc w:val="left"/>
                          <w:rPr/>
                        </w:pPr>
                        <w:r>
                          <w:t>Ability to purchase learning items</w:t>
                        </w:r>
                      </w:p>
                      <w:p>
                        <w:pPr>
                          <w:pStyle w:val="style179"/>
                          <w:numPr>
                            <w:ilvl w:val="0"/>
                            <w:numId w:val="5"/>
                          </w:numPr>
                          <w:spacing w:before="0" w:after="0" w:lineRule="auto" w:line="240"/>
                          <w:jc w:val="left"/>
                          <w:rPr/>
                        </w:pPr>
                        <w:r>
                          <w:t>Food provision</w:t>
                        </w:r>
                      </w:p>
                      <w:p>
                        <w:pPr>
                          <w:pStyle w:val="style0"/>
                          <w:spacing w:before="0" w:after="0" w:lineRule="auto" w:line="240"/>
                          <w:rPr/>
                        </w:pPr>
                      </w:p>
                      <w:p>
                        <w:pPr>
                          <w:pStyle w:val="style0"/>
                          <w:rPr>
                            <w:b/>
                          </w:rPr>
                        </w:pPr>
                      </w:p>
                    </w:txbxContent>
                  </v:textbox>
                </v:rect>
                <v:shapetype id="_x0000_t32" coordsize="21600,21600" o:spt="32" o:oned="t" path="m,l21600,21600e">
                  <v:path arrowok="t" fillok="f" o:connecttype="none"/>
                  <o:lock v:ext="edit" shapetype="t"/>
                </v:shapetype>
                <v:shape id="1033" type="#_x0000_t32" filled="f" style="position:absolute;left:2276400;top:1960826;width:269200;height:4400;z-index:8;mso-position-horizontal-relative:page;mso-position-vertical-relative:page;mso-width-relative:page;mso-height-relative:page;visibility:visible;flip:y;">
                  <v:stroke endarrow="block" weight="2.5pt"/>
                  <v:fill/>
                </v:shape>
                <v:shape id="1034" type="#_x0000_t32" filled="f" style="position:absolute;left:2274500;top:2937539;width:271100;height:600;z-index:9;mso-position-horizontal-relative:page;mso-position-vertical-relative:page;mso-width-relative:page;mso-height-relative:page;visibility:visible;">
                  <v:stroke endarrow="block" weight="2.5pt"/>
                  <v:fill/>
                </v:shape>
                <v:shape id="1035" type="#_x0000_t32" filled="f" style="position:absolute;left:2276400;top:570308;width:269800;height:4500;z-index:10;mso-position-horizontal-relative:page;mso-position-vertical-relative:page;mso-width-relative:page;mso-height-relative:page;visibility:visible;flip:y;">
                  <v:stroke endarrow="block" weight="2.5pt"/>
                  <v:fill/>
                </v:shape>
                <v:shape id="1036" type="#_x0000_t32" filled="f" style="position:absolute;left:2340700;top:3354045;width:800;height:5200;z-index:11;mso-position-horizontal-relative:page;mso-position-vertical-relative:page;mso-width-relative:page;mso-height-relative:page;visibility:visible;">
                  <v:fill/>
                </v:shape>
                <v:shape id="1037" type="#_x0000_t32" filled="f" style="position:absolute;left:2545500;top:574808;width:700;height:2362731;z-index:12;mso-position-horizontal-relative:page;mso-position-vertical-relative:page;mso-width-relative:page;mso-height-relative:page;visibility:visible;">
                  <v:stroke weight="2.5pt"/>
                  <v:fill/>
                </v:shape>
                <v:rect id="1038" stroked="t" style="position:absolute;left:2762200;top:2003259;width:1638300;height:1301915;z-index:13;mso-position-horizontal-relative:page;mso-position-vertical-relative:page;mso-width-relative:page;mso-height-relative:page;visibility:visible;v-text-anchor:middle;">
                  <v:stroke joinstyle="miter" weight="2.0pt"/>
                  <v:fill/>
                  <v:textbox inset="7.2pt,3.6pt,7.2pt,3.6pt">
                    <w:txbxContent>
                      <w:p>
                        <w:pPr>
                          <w:pStyle w:val="style0"/>
                          <w:spacing w:before="0" w:after="0" w:lineRule="auto" w:line="240"/>
                          <w:rPr>
                            <w:b/>
                          </w:rPr>
                        </w:pPr>
                        <w:r>
                          <w:rPr>
                            <w:b/>
                          </w:rPr>
                          <w:t>Government intervention</w:t>
                        </w:r>
                      </w:p>
                      <w:p>
                        <w:pPr>
                          <w:pStyle w:val="style179"/>
                          <w:numPr>
                            <w:ilvl w:val="0"/>
                            <w:numId w:val="4"/>
                          </w:numPr>
                          <w:spacing w:before="0" w:after="0" w:lineRule="auto" w:line="240"/>
                          <w:ind w:left="288" w:hanging="144"/>
                          <w:jc w:val="left"/>
                          <w:rPr>
                            <w:rFonts w:eastAsia="Times New Roman"/>
                          </w:rPr>
                        </w:pPr>
                        <w:r>
                          <w:rPr>
                            <w:rFonts w:eastAsia="Calibri"/>
                          </w:rPr>
                          <w:t xml:space="preserve">Educational funding from </w:t>
                        </w:r>
                        <w:r>
                          <w:rPr>
                            <w:rFonts w:eastAsia="Calibri"/>
                          </w:rPr>
                          <w:t>eg CDF</w:t>
                        </w:r>
                      </w:p>
                      <w:p>
                        <w:pPr>
                          <w:pStyle w:val="style179"/>
                          <w:numPr>
                            <w:ilvl w:val="0"/>
                            <w:numId w:val="4"/>
                          </w:numPr>
                          <w:spacing w:before="0" w:after="0" w:lineRule="auto" w:line="240"/>
                          <w:ind w:left="288" w:hanging="144"/>
                          <w:jc w:val="left"/>
                          <w:rPr/>
                        </w:pPr>
                        <w:r>
                          <w:t>Cut off points</w:t>
                        </w:r>
                      </w:p>
                      <w:p>
                        <w:pPr>
                          <w:pStyle w:val="style179"/>
                          <w:numPr>
                            <w:ilvl w:val="0"/>
                            <w:numId w:val="4"/>
                          </w:numPr>
                          <w:spacing w:before="0" w:after="0" w:lineRule="auto" w:line="240"/>
                          <w:ind w:left="288" w:hanging="144"/>
                          <w:jc w:val="left"/>
                          <w:rPr/>
                        </w:pPr>
                        <w:r>
                          <w:t>Affirmative actions</w:t>
                        </w:r>
                      </w:p>
                      <w:p>
                        <w:pPr>
                          <w:pStyle w:val="style0"/>
                          <w:spacing w:before="0" w:after="0" w:lineRule="auto" w:line="240"/>
                          <w:jc w:val="center"/>
                          <w:rPr/>
                        </w:pPr>
                      </w:p>
                    </w:txbxContent>
                  </v:textbox>
                </v:rect>
                <v:rect id="1039" stroked="f" style="position:absolute;left:2762199;top:3354045;width:2543226;height:342905;z-index:14;mso-position-horizontal-relative:page;mso-position-vertical-relative:page;mso-width-relative:page;mso-height-relative:page;visibility:visible;">
                  <v:stroke on="f"/>
                  <v:fill/>
                  <v:textbox inset="7.2pt,3.6pt,7.2pt,3.6pt">
                    <w:txbxContent>
                      <w:p>
                        <w:pPr>
                          <w:pStyle w:val="style0"/>
                          <w:spacing w:lineRule="auto" w:line="240"/>
                          <w:rPr>
                            <w:b/>
                          </w:rPr>
                        </w:pPr>
                        <w:r>
                          <w:rPr>
                            <w:b/>
                          </w:rPr>
                          <w:t xml:space="preserve">Moderating </w:t>
                        </w:r>
                        <w:r>
                          <w:rPr>
                            <w:b/>
                          </w:rPr>
                          <w:t>variable</w:t>
                        </w:r>
                      </w:p>
                    </w:txbxContent>
                  </v:textbox>
                </v:rect>
                <v:rect id="1040" stroked="f" style="position:absolute;left:3952000;top:68653;width:1610500;height:366322;z-index:15;mso-position-horizontal-relative:page;mso-position-vertical-relative:page;mso-width-relative:page;mso-height-relative:page;visibility:visible;">
                  <v:stroke on="f"/>
                  <v:fill/>
                  <v:textbox inset="7.2pt,3.6pt,7.2pt,3.6pt">
                    <w:txbxContent>
                      <w:p>
                        <w:pPr>
                          <w:pStyle w:val="style94"/>
                          <w:spacing w:before="120" w:beforeAutospacing="false" w:after="120" w:afterAutospacing="false" w:lineRule="auto" w:line="480"/>
                          <w:jc w:val="both"/>
                          <w:rPr>
                            <w:b/>
                          </w:rPr>
                        </w:pPr>
                        <w:r>
                          <w:rPr>
                            <w:rFonts w:eastAsia="Calibri"/>
                            <w:b/>
                          </w:rPr>
                          <w:t>Dependent variable</w:t>
                        </w:r>
                      </w:p>
                    </w:txbxContent>
                  </v:textbox>
                </v:rect>
                <v:line id="1041" filled="f" stroked="t" from="3124200.0pt,1346021.0pt" to="3124200.0pt,2022330.0pt" style="position:absolute;z-index:16;mso-position-horizontal-relative:page;mso-position-vertical-relative:page;mso-width-relative:page;mso-height-relative:page;visibility:visible;flip:y;">
                  <v:stroke endarrow="block" weight="2.25pt"/>
                  <v:fill/>
                </v:line>
                <w10:anchorlock/>
                <v:fill rotate="true"/>
              </v:group>
            </w:pict>
          </mc:Fallback>
        </mc:AlternateContent>
      </w:r>
      <w:r>
        <w:rPr>
          <w:rFonts w:cs="Times New Roman"/>
          <w:b/>
          <w:noProof/>
          <w:szCs w:val="24"/>
        </w:rPr>
      </w:r>
      <w:r>
        <w:rPr>
          <w:rFonts w:cs="Times New Roman"/>
          <w:b/>
          <w:noProof/>
          <w:szCs w:val="24"/>
        </w:rPr>
      </w:r>
    </w:p>
    <w:bookmarkStart w:id="39" w:name="_Toc143796442"/>
    <w:p>
      <w:pPr>
        <w:pStyle w:val="style5"/>
        <w:rPr/>
      </w:pPr>
      <w:r>
        <w:t>Figure 2.1: Conceptual framework</w:t>
      </w:r>
      <w:bookmarkEnd w:id="39"/>
    </w:p>
    <w:p>
      <w:pPr>
        <w:pStyle w:val="style0"/>
        <w:rPr/>
      </w:pPr>
      <w:r>
        <w:t xml:space="preserve">The </w:t>
      </w:r>
      <w:r>
        <w:t xml:space="preserve">conceptual framework shows that various factors contribute to pupils' academic achievement. These include socio-economic factors such as the education level of a person, occupation of a person, income level of a person, student </w:t>
      </w:r>
      <w:r>
        <w:t>behaviour</w:t>
      </w:r>
      <w:r>
        <w:t xml:space="preserve">, teachers' character, parental boldness and family size/composition. </w:t>
      </w:r>
      <w:r>
        <w:t>Parents' level of education is a critical determinant of students' educational outcomes. Their educational background influences their capacity to provide academic support, engage in meaningful communication with schools, and create an environment conducive to learning. The range of parental education levels, spanning from primary to tertiary education, captures the diversity in educational resources available within families. The category of "none" highlights the potential impact of limited parental education on students' academic progress.</w:t>
      </w:r>
    </w:p>
    <w:p>
      <w:pPr>
        <w:pStyle w:val="style0"/>
        <w:rPr/>
      </w:pPr>
      <w:r>
        <w:t>Family size is an integral aspect that can affect students' academic achievement. It encompasses both practical and psychological dimensions. Large family sizes may strain available resources, diverting attention and financial support away from educational needs. Mid-size families could strike a balance, while small families might have more focused resources for their children's education. Household income plays a pivotal role in shaping students' academic success. The ability to pay fees directly impacts access to quality education, while the capacity to purchase learning items such as books, supplies, and technology can enhance learning experiences. Moreover, food provision influences students' overall well-being and ability to concentrate in school.</w:t>
      </w:r>
    </w:p>
    <w:p>
      <w:pPr>
        <w:pStyle w:val="style0"/>
        <w:rPr/>
      </w:pPr>
      <w:r>
        <w:t>The exploration of these dimensions in relation to pupils' academic achievement aims to uncover the intricate interplay between various factors and educational outcomes. By delving into each aspect, the study gains a comprehensive understanding of how students' performance is influenced by their environment, family dynamics, and socioeconomic circumstances. This holistic approach contributes to a nuanced analysis of academic achievement, facilitating the identification of patterns, disparities, and potential avenues for intervention and improvement. Government intervention serves as a crucial intervening variable in this study, impacting the relationship between various factors and students' academic achievement. The government's role in education extends beyond policy-making to practical measures that can influence students' educational experiences and outcomes. Within the context of this study, several government interventions are considered:</w:t>
      </w:r>
    </w:p>
    <w:p>
      <w:pPr>
        <w:pStyle w:val="style0"/>
        <w:rPr/>
      </w:pPr>
      <w:r>
        <w:t xml:space="preserve">Pupils' academic achievement serves as a pivotal measure of educational success and growth. In this study, several dimensions are explored to understand the multifaceted nature of </w:t>
      </w:r>
      <w:r>
        <w:t>academic achievement</w:t>
      </w:r>
      <w:r>
        <w:t>. The Zonal exam performance, an objective assessment of students' knowledge and skills, provides insights into their comprehension and retention of curriculum content. Co-curricular activities, beyond the academic sphere, contribute to holistic development and may indirectly impact academic success by enhancing skills such as teamwork, time management, and self-discipline. Additionally, the transition rate to secondary education reflects the level of preparedness and success attained during primary education, shedding light on how effectively students are transitioning to the next phase of their educational journey.</w:t>
      </w:r>
    </w:p>
    <w:bookmarkStart w:id="40" w:name="_Toc144283190"/>
    <w:p>
      <w:pPr>
        <w:pStyle w:val="style2"/>
        <w:rPr>
          <w:lang w:val="en-GB"/>
        </w:rPr>
      </w:pPr>
      <w:r>
        <w:rPr>
          <w:lang w:val="en-GB"/>
        </w:rPr>
        <w:t>2.</w:t>
      </w:r>
      <w:r>
        <w:rPr>
          <w:lang w:val="en-GB"/>
        </w:rPr>
        <w:t xml:space="preserve">7 </w:t>
      </w:r>
      <w:r>
        <w:rPr>
          <w:lang w:val="en-GB"/>
        </w:rPr>
        <w:t>Summary of the literature review</w:t>
      </w:r>
      <w:bookmarkEnd w:id="40"/>
    </w:p>
    <w:p>
      <w:pPr>
        <w:pStyle w:val="style0"/>
        <w:rPr/>
      </w:pPr>
      <w:r>
        <w:rPr>
          <w:lang w:val="en-GB"/>
        </w:rPr>
        <w:t xml:space="preserve">According to empirical research, socioeconomic factors have a significant impact on students' academic achievement. This includes things like parental education level, parental occupation, and household income. However, understanding the mechanisms by which socioeconomic factors influence academic achievement is lacking.  This is an important area for future research because it may help to inform interventions to improve academic achievement for all students. Based on the study objectives, the study reviewed the literature. </w:t>
      </w:r>
      <w:r>
        <w:t xml:space="preserve">The current study was motivated by the discovery of significant knowledge gaps in existing research. Following a review of previous studies, several knowledge gaps, encompassing conceptual, contextual, and methodological dimensions, emerged. Notably, the majority of the studies reviewed were carried out in countries other than Kenya, revealing a contextual gap in terms of applicability to the Karaba Zone, </w:t>
      </w:r>
      <w:r>
        <w:t>Mbeere</w:t>
      </w:r>
      <w:r>
        <w:t xml:space="preserve"> South Sub-County context. The contextual gap was exacerbated further by the fact that some Kenya studies were conducted in areas other than the designated Karaba Zone.</w:t>
      </w:r>
    </w:p>
    <w:p>
      <w:pPr>
        <w:pStyle w:val="style0"/>
        <w:rPr>
          <w:lang w:val="en-GB"/>
        </w:rPr>
      </w:pPr>
      <w:r>
        <w:t xml:space="preserve">Furthermore, the studies examined revealed a clear conceptual gap. None of these studies sought to establish a link between a household's income level, family size, and parents' education level and pupils' academic achievement in primary schools in the unique context of Karaba Zone, </w:t>
      </w:r>
      <w:r>
        <w:t>Mbeere</w:t>
      </w:r>
      <w:r>
        <w:t xml:space="preserve"> South Sub-County. This conceptual gap indicates the need to investigate these specific socioeconomic factors as key determinants of academic achievement in the local context, and the absence of such a focus in previous studies serves as a clear rationale for the current study. Furthermore, methodological gaps in the reviewed studies were discovered, particularly in terms of data type, research design, and sampling techniques used, among other things. These gaps highlighted the significance of the current study.  </w:t>
      </w:r>
      <w:r>
        <w:rPr>
          <w:lang w:val="en-GB"/>
        </w:rPr>
        <w:t>The study's findings will be useful to policymakers and educators working to improve academic achievement for all students.</w:t>
      </w:r>
    </w:p>
    <w:p>
      <w:pPr>
        <w:pStyle w:val="style0"/>
        <w:rPr/>
      </w:pPr>
    </w:p>
    <w:p>
      <w:pPr>
        <w:pStyle w:val="style0"/>
        <w:rPr/>
      </w:pPr>
    </w:p>
    <w:p>
      <w:pPr>
        <w:pStyle w:val="style0"/>
        <w:rPr/>
      </w:pPr>
    </w:p>
    <w:p>
      <w:pPr>
        <w:pStyle w:val="style0"/>
        <w:rPr/>
      </w:pPr>
    </w:p>
    <w:bookmarkStart w:id="41" w:name="_Toc144283191"/>
    <w:bookmarkStart w:id="42" w:name="_Toc59200092"/>
    <w:p>
      <w:pPr>
        <w:pStyle w:val="style1"/>
        <w:spacing w:lineRule="auto" w:line="480"/>
        <w:rPr/>
      </w:pPr>
      <w:r>
        <w:t>CHAPTER THREE</w:t>
      </w:r>
      <w:bookmarkEnd w:id="41"/>
    </w:p>
    <w:bookmarkStart w:id="43" w:name="_Toc144283192"/>
    <w:p>
      <w:pPr>
        <w:pStyle w:val="style1"/>
        <w:spacing w:lineRule="auto" w:line="480"/>
        <w:rPr/>
      </w:pPr>
      <w:r>
        <w:t>RESEARCH METHODOLOGY</w:t>
      </w:r>
      <w:bookmarkEnd w:id="42"/>
      <w:bookmarkEnd w:id="43"/>
    </w:p>
    <w:bookmarkStart w:id="44" w:name="_Toc59200093"/>
    <w:bookmarkStart w:id="45" w:name="_Toc520134484"/>
    <w:bookmarkStart w:id="46" w:name="_Toc459368404"/>
    <w:bookmarkStart w:id="47" w:name="_Toc454567049"/>
    <w:bookmarkStart w:id="48" w:name="_Toc421986199"/>
    <w:bookmarkStart w:id="49" w:name="_Toc386548706"/>
    <w:bookmarkStart w:id="50" w:name="_Toc341365378"/>
    <w:bookmarkStart w:id="51" w:name="_Toc332667506"/>
    <w:bookmarkStart w:id="52" w:name="_Toc144283193"/>
    <w:p>
      <w:pPr>
        <w:pStyle w:val="style2"/>
        <w:rPr/>
      </w:pPr>
      <w:r>
        <w:t>3.0</w:t>
      </w:r>
      <w:r>
        <w:t xml:space="preserve"> </w:t>
      </w:r>
      <w:r>
        <w:t>Introduction</w:t>
      </w:r>
      <w:bookmarkEnd w:id="44"/>
      <w:bookmarkEnd w:id="45"/>
      <w:bookmarkEnd w:id="46"/>
      <w:bookmarkEnd w:id="47"/>
      <w:bookmarkEnd w:id="48"/>
      <w:bookmarkEnd w:id="49"/>
      <w:bookmarkEnd w:id="50"/>
      <w:bookmarkEnd w:id="51"/>
      <w:bookmarkEnd w:id="52"/>
    </w:p>
    <w:p>
      <w:pPr>
        <w:pStyle w:val="style0"/>
        <w:rPr/>
      </w:pPr>
      <w:r>
        <w:t>The section presented an analysis of the research methodology. The research design, population of the study, sample size and sampling procedure, research instruments, validity, reliability, data collection procedures, data analysis techniques, and ethical considerations were all significantly described.</w:t>
      </w:r>
    </w:p>
    <w:bookmarkStart w:id="53" w:name="_Toc59200094"/>
    <w:bookmarkStart w:id="54" w:name="_Toc525229127"/>
    <w:bookmarkStart w:id="55" w:name="_Toc523930834"/>
    <w:bookmarkStart w:id="56" w:name="_Toc144283194"/>
    <w:p>
      <w:pPr>
        <w:pStyle w:val="style2"/>
        <w:rPr/>
      </w:pPr>
      <w:r>
        <w:t>3.1</w:t>
      </w:r>
      <w:r>
        <w:t xml:space="preserve"> </w:t>
      </w:r>
      <w:r>
        <w:t>Research design</w:t>
      </w:r>
      <w:bookmarkEnd w:id="53"/>
      <w:bookmarkEnd w:id="54"/>
      <w:bookmarkEnd w:id="55"/>
      <w:bookmarkEnd w:id="56"/>
    </w:p>
    <w:p>
      <w:pPr>
        <w:pStyle w:val="style0"/>
        <w:rPr/>
      </w:pPr>
      <w:r>
        <w:t xml:space="preserve">Research design is a framework employed to create answers to examiners' concerns. It can be illustrated as a blueprint for collecting, measuring and analyzing data (Cooper &amp; Schindler, </w:t>
      </w:r>
      <w:r>
        <w:t>2020</w:t>
      </w:r>
      <w:r>
        <w:t xml:space="preserve">). It is an integrated map of the research project that determines the most suitable method of investigation, nature of the instruments, sampling plan and type of data (Rahi, </w:t>
      </w:r>
      <w:r>
        <w:t>2021</w:t>
      </w:r>
      <w:r>
        <w:t xml:space="preserve">). The study adopted a correlational research design. The correlational design is a research design where the researcher is primarily interested in describing relationships among variables without seeking a causal association (Patten &amp; Newhart, </w:t>
      </w:r>
      <w:r>
        <w:t>2021</w:t>
      </w:r>
      <w:r>
        <w:t xml:space="preserve">). </w:t>
      </w:r>
    </w:p>
    <w:p>
      <w:pPr>
        <w:pStyle w:val="style0"/>
        <w:rPr/>
      </w:pPr>
      <w:r>
        <w:t xml:space="preserve">The study utilized a correlational research design to explore the relationships among variables without intending to establish causal connections. The primary objective of the research was to examine the relationship between socioeconomic factors and pupils' academic achievement within public primary schools located in Karaba Zone, </w:t>
      </w:r>
      <w:r>
        <w:t>Mbeere</w:t>
      </w:r>
      <w:r>
        <w:t xml:space="preserve"> South Sub-County, Kenya. To achieve this overarching goal, the study delineated three specific objectives. First, it aimed to establish the potential relationship between the income level of households and the academic achievement of pupils in primary schools within the specified geographical zone. Secondly, the study sought to ascertain whether a correlation existed between the size of a family and pupils' </w:t>
      </w:r>
      <w:r>
        <w:t>academic achievement</w:t>
      </w:r>
      <w:r>
        <w:t xml:space="preserve"> in these schools. Thirdly, the research aimed to delve into the connection between parents' education levels and pupils' academic achievement in primary schools within the same area. </w:t>
      </w:r>
    </w:p>
    <w:p>
      <w:pPr>
        <w:pStyle w:val="style0"/>
        <w:rPr/>
      </w:pPr>
      <w:r>
        <w:t xml:space="preserve">In order to test these objectives, the study formulated three null hypotheses, each representing a lack of significant relationship between the aforementioned variables. The first null hypothesis (H01) posited that there was no significant relationship </w:t>
      </w:r>
      <w:r>
        <w:t xml:space="preserve">between the income level of households and the academic achievement of pupils in primary schools in Karaba Zone. The second null hypothesis (H02) hypothesized that there was no significant relationship between family size and pupils' </w:t>
      </w:r>
      <w:r>
        <w:t>academic achievement</w:t>
      </w:r>
      <w:r>
        <w:t xml:space="preserve"> within the specified zone. The third null hypothesis (H03) suggested that there was no </w:t>
      </w:r>
      <w:r>
        <w:t>significan</w:t>
      </w:r>
      <w:r>
        <w:t xml:space="preserve"> relationship between parents' education levels and pupils' academic achievement in primary schools in the designated area.</w:t>
      </w:r>
    </w:p>
    <w:bookmarkStart w:id="57" w:name="_Toc59200095"/>
    <w:bookmarkStart w:id="58" w:name="_Toc144283195"/>
    <w:p>
      <w:pPr>
        <w:pStyle w:val="style2"/>
        <w:rPr>
          <w:lang w:val="en-GB"/>
        </w:rPr>
      </w:pPr>
      <w:r>
        <w:rPr>
          <w:lang w:val="en-GB"/>
        </w:rPr>
        <w:t>3.2</w:t>
      </w:r>
      <w:r>
        <w:rPr>
          <w:lang w:val="en-GB"/>
        </w:rPr>
        <w:t xml:space="preserve"> </w:t>
      </w:r>
      <w:r>
        <w:rPr>
          <w:lang w:val="en-GB"/>
        </w:rPr>
        <w:t>Location of the study</w:t>
      </w:r>
      <w:bookmarkEnd w:id="57"/>
      <w:bookmarkEnd w:id="58"/>
    </w:p>
    <w:bookmarkStart w:id="59" w:name="_Toc59200096"/>
    <w:p>
      <w:pPr>
        <w:pStyle w:val="style0"/>
        <w:rPr/>
      </w:pPr>
      <w:r>
        <w:t xml:space="preserve">The research </w:t>
      </w:r>
      <w:r>
        <w:t>was conducted in</w:t>
      </w:r>
      <w:r>
        <w:t xml:space="preserve"> Karaba Zone, </w:t>
      </w:r>
      <w:r>
        <w:t>Mbeere</w:t>
      </w:r>
      <w:r>
        <w:t xml:space="preserve"> South Sub-County</w:t>
      </w:r>
      <w:r>
        <w:t xml:space="preserve">. The choice of Karaba Zone, </w:t>
      </w:r>
      <w:r>
        <w:t>Mbeere</w:t>
      </w:r>
      <w:r>
        <w:t xml:space="preserve"> South Sub-County, as the research site was well-justified given the urgent need to address the declining quality of education and persistent underachievement in its primary schools. The historical data highlighted the existing disparities in educational outcomes, making Karaba Zone an ideal site for in-depth investigation. This study was aimed to uncover insights that could inform targeted interventions and strategies aimed at closing the achievement gap and creating a more equitable educational environment not only within Karaba Zone but also across the larger </w:t>
      </w:r>
      <w:r>
        <w:t>Mbeere</w:t>
      </w:r>
      <w:r>
        <w:t xml:space="preserve"> South Sub-County.</w:t>
      </w:r>
    </w:p>
    <w:bookmarkStart w:id="60" w:name="_Toc144283196"/>
    <w:p>
      <w:pPr>
        <w:pStyle w:val="style2"/>
        <w:rPr/>
      </w:pPr>
      <w:r>
        <w:t>3.3</w:t>
      </w:r>
      <w:r>
        <w:t xml:space="preserve"> </w:t>
      </w:r>
      <w:r>
        <w:t>Target population</w:t>
      </w:r>
      <w:bookmarkEnd w:id="59"/>
      <w:bookmarkEnd w:id="60"/>
    </w:p>
    <w:p>
      <w:pPr>
        <w:pStyle w:val="style0"/>
        <w:rPr/>
      </w:pPr>
      <w:r>
        <w:t>The target population for this study referred to the general population that was expected to participate in the research. Specifically, the study focused on the 14 primary schools within Karaba Zone. The target population included different groups within these schools, and they were as follows: 560 pupils, 112 class teachers, 518 parents, and 14 head teachers. The selection of these groups was based on the heterogeneous nature of the population, with the number of parent representatives varying from school to school. The unit of analysis for this study encompassed the 14 primary schools in Karaba Zone, along with the mentioned groups associated with each school. The findings of the study were intended to be generalized to all 14 primary schools within Karaba Zone, including the pupils, class teachers, parents, and head teachers in these schools. The detailed breakdown of the target population was provided in Table 3.1.</w:t>
      </w:r>
    </w:p>
    <w:p>
      <w:pPr>
        <w:pStyle w:val="style0"/>
        <w:rPr>
          <w:b/>
          <w:bCs/>
          <w:iCs/>
        </w:rPr>
      </w:pPr>
    </w:p>
    <w:bookmarkStart w:id="61" w:name="_Toc144196175"/>
    <w:p>
      <w:pPr>
        <w:pStyle w:val="style4"/>
        <w:spacing w:before="120" w:after="120"/>
        <w:rPr>
          <w:shd w:val="clear" w:color="auto" w:fill="ffffff"/>
        </w:rPr>
      </w:pPr>
      <w:r>
        <w:rPr>
          <w:shd w:val="clear" w:color="auto" w:fill="ffffff"/>
        </w:rPr>
        <w:t>Table 3.1: Target population</w:t>
      </w:r>
      <w:bookmarkEnd w:id="61"/>
    </w:p>
    <w:tbl>
      <w:tblPr>
        <w:tblW w:w="5113" w:type="pct"/>
        <w:tblInd w:w="-185" w:type="dxa"/>
        <w:tblBorders>
          <w:top w:val="single" w:sz="4" w:space="0" w:color="auto"/>
          <w:bottom w:val="single" w:sz="4" w:space="0" w:color="auto"/>
        </w:tblBorders>
        <w:tblLayout w:type="fixed"/>
        <w:tblLook w:val="04A0" w:firstRow="1" w:lastRow="0" w:firstColumn="1" w:lastColumn="0" w:noHBand="0" w:noVBand="1"/>
      </w:tblPr>
      <w:tblGrid>
        <w:gridCol w:w="894"/>
        <w:gridCol w:w="1986"/>
        <w:gridCol w:w="992"/>
        <w:gridCol w:w="1786"/>
        <w:gridCol w:w="1375"/>
        <w:gridCol w:w="1374"/>
      </w:tblGrid>
      <w:tr>
        <w:trPr>
          <w:trHeight w:val="300" w:hRule="atLeast"/>
        </w:trPr>
        <w:tc>
          <w:tcPr>
            <w:tcW w:w="532" w:type="pct"/>
            <w:tcBorders>
              <w:top w:val="single" w:sz="4" w:space="0" w:color="auto"/>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Item</w:t>
            </w:r>
          </w:p>
        </w:tc>
        <w:tc>
          <w:tcPr>
            <w:tcW w:w="1181" w:type="pct"/>
            <w:tcBorders>
              <w:top w:val="single" w:sz="4" w:space="0" w:color="auto"/>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School</w:t>
            </w:r>
          </w:p>
        </w:tc>
        <w:tc>
          <w:tcPr>
            <w:tcW w:w="590" w:type="pct"/>
            <w:tcBorders>
              <w:top w:val="single" w:sz="4" w:space="0" w:color="auto"/>
              <w:bottom w:val="single" w:sz="4" w:space="0" w:color="auto"/>
            </w:tcBorders>
            <w:noWrap/>
            <w:vAlign w:val="bottom"/>
            <w:hideMark/>
          </w:tcPr>
          <w:p>
            <w:pPr>
              <w:pStyle w:val="style0"/>
              <w:spacing w:before="0" w:after="0" w:lineRule="auto" w:line="240"/>
              <w:jc w:val="center"/>
              <w:rPr>
                <w:rFonts w:cs="Times New Roman" w:eastAsia="Times New Roman"/>
                <w:b/>
                <w:szCs w:val="24"/>
              </w:rPr>
            </w:pPr>
            <w:r>
              <w:rPr>
                <w:rFonts w:cs="Times New Roman" w:eastAsia="Times New Roman"/>
                <w:b/>
                <w:szCs w:val="24"/>
              </w:rPr>
              <w:t>Pupils</w:t>
            </w:r>
          </w:p>
        </w:tc>
        <w:tc>
          <w:tcPr>
            <w:tcW w:w="1062" w:type="pct"/>
            <w:tcBorders>
              <w:top w:val="single" w:sz="4" w:space="0" w:color="auto"/>
              <w:bottom w:val="single" w:sz="4" w:space="0" w:color="auto"/>
            </w:tcBorders>
            <w:noWrap/>
            <w:vAlign w:val="bottom"/>
            <w:hideMark/>
          </w:tcPr>
          <w:p>
            <w:pPr>
              <w:pStyle w:val="style0"/>
              <w:spacing w:before="0" w:after="0" w:lineRule="auto" w:line="240"/>
              <w:jc w:val="center"/>
              <w:rPr>
                <w:rFonts w:cs="Times New Roman" w:eastAsia="Times New Roman"/>
                <w:b/>
                <w:szCs w:val="24"/>
              </w:rPr>
            </w:pPr>
            <w:r>
              <w:rPr>
                <w:rFonts w:cs="Times New Roman" w:eastAsia="Times New Roman"/>
                <w:b/>
                <w:szCs w:val="24"/>
              </w:rPr>
              <w:t>Parent representatives</w:t>
            </w:r>
          </w:p>
        </w:tc>
        <w:tc>
          <w:tcPr>
            <w:tcW w:w="818" w:type="pct"/>
            <w:tcBorders>
              <w:top w:val="single" w:sz="4" w:space="0" w:color="auto"/>
              <w:bottom w:val="single" w:sz="4" w:space="0" w:color="auto"/>
            </w:tcBorders>
            <w:noWrap/>
            <w:vAlign w:val="bottom"/>
            <w:hideMark/>
          </w:tcPr>
          <w:p>
            <w:pPr>
              <w:pStyle w:val="style0"/>
              <w:spacing w:before="0" w:after="0" w:lineRule="auto" w:line="240"/>
              <w:jc w:val="center"/>
              <w:rPr>
                <w:rFonts w:cs="Times New Roman" w:eastAsia="Times New Roman"/>
                <w:b/>
                <w:szCs w:val="24"/>
              </w:rPr>
            </w:pPr>
            <w:r>
              <w:rPr>
                <w:rFonts w:cs="Times New Roman" w:eastAsia="Times New Roman"/>
                <w:b/>
                <w:szCs w:val="24"/>
              </w:rPr>
              <w:t>Class teachers</w:t>
            </w:r>
          </w:p>
        </w:tc>
        <w:tc>
          <w:tcPr>
            <w:tcW w:w="818" w:type="pct"/>
            <w:tcBorders>
              <w:top w:val="single" w:sz="4" w:space="0" w:color="auto"/>
              <w:bottom w:val="single" w:sz="4" w:space="0" w:color="auto"/>
            </w:tcBorders>
            <w:noWrap/>
            <w:vAlign w:val="bottom"/>
            <w:hideMark/>
          </w:tcPr>
          <w:p>
            <w:pPr>
              <w:pStyle w:val="style0"/>
              <w:spacing w:before="0" w:after="0" w:lineRule="auto" w:line="240"/>
              <w:jc w:val="center"/>
              <w:rPr>
                <w:rFonts w:cs="Times New Roman" w:eastAsia="Times New Roman"/>
                <w:b/>
                <w:szCs w:val="24"/>
              </w:rPr>
            </w:pPr>
            <w:r>
              <w:rPr>
                <w:rFonts w:cs="Times New Roman" w:eastAsia="Times New Roman"/>
                <w:b/>
                <w:szCs w:val="24"/>
              </w:rPr>
              <w:t>Head teachers</w:t>
            </w:r>
          </w:p>
        </w:tc>
      </w:tr>
      <w:tr>
        <w:tblPrEx/>
        <w:trPr>
          <w:trHeight w:val="315" w:hRule="atLeast"/>
        </w:trPr>
        <w:tc>
          <w:tcPr>
            <w:tcW w:w="532" w:type="pct"/>
            <w:tcBorders>
              <w:top w:val="single" w:sz="4" w:space="0" w:color="auto"/>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c>
          <w:tcPr>
            <w:tcW w:w="1181" w:type="pct"/>
            <w:tcBorders>
              <w:top w:val="single" w:sz="4" w:space="0" w:color="auto"/>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Kaseve</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590" w:type="pct"/>
            <w:tcBorders>
              <w:top w:val="single" w:sz="4" w:space="0" w:color="auto"/>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28</w:t>
            </w:r>
          </w:p>
        </w:tc>
        <w:tc>
          <w:tcPr>
            <w:tcW w:w="1062" w:type="pct"/>
            <w:tcBorders>
              <w:top w:val="single" w:sz="4" w:space="0" w:color="auto"/>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25</w:t>
            </w:r>
          </w:p>
        </w:tc>
        <w:tc>
          <w:tcPr>
            <w:tcW w:w="818" w:type="pct"/>
            <w:tcBorders>
              <w:top w:val="single" w:sz="4" w:space="0" w:color="auto"/>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top w:val="single" w:sz="4" w:space="0" w:color="auto"/>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2</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Ndune</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30</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24</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3</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 xml:space="preserve">Kalisa </w:t>
            </w:r>
            <w:r>
              <w:rPr>
                <w:rFonts w:cs="Times New Roman" w:eastAsia="Times New Roman"/>
                <w:szCs w:val="24"/>
              </w:rPr>
              <w:t>Pri</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36</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29</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4</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Ciangera</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62</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49</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5</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 xml:space="preserve">Consolata Karaba </w:t>
            </w:r>
            <w:r>
              <w:rPr>
                <w:rFonts w:cs="Times New Roman" w:eastAsia="Times New Roman"/>
                <w:szCs w:val="24"/>
              </w:rPr>
              <w:t>Pri</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41</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38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6</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 xml:space="preserve">Deb </w:t>
            </w:r>
            <w:r>
              <w:rPr>
                <w:rFonts w:cs="Times New Roman" w:eastAsia="Times New Roman"/>
                <w:szCs w:val="24"/>
              </w:rPr>
              <w:t>Kikumini</w:t>
            </w:r>
            <w:r>
              <w:rPr>
                <w:rFonts w:cs="Times New Roman" w:eastAsia="Times New Roman"/>
                <w:szCs w:val="24"/>
              </w:rPr>
              <w:t xml:space="preserve"> </w:t>
            </w:r>
            <w:r>
              <w:rPr>
                <w:rFonts w:cs="Times New Roman" w:eastAsia="Times New Roman"/>
                <w:szCs w:val="24"/>
              </w:rPr>
              <w:t>Pri</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52</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40</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7</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Gacabari</w:t>
            </w:r>
            <w:r>
              <w:rPr>
                <w:rFonts w:cs="Times New Roman" w:eastAsia="Times New Roman"/>
                <w:szCs w:val="24"/>
              </w:rPr>
              <w:t xml:space="preserve">  </w:t>
            </w:r>
            <w:r>
              <w:rPr>
                <w:rFonts w:cs="Times New Roman" w:eastAsia="Times New Roman"/>
                <w:szCs w:val="24"/>
              </w:rPr>
              <w:t>Pri.Sch</w:t>
            </w:r>
            <w:r>
              <w:rPr>
                <w:rFonts w:cs="Times New Roman" w:eastAsia="Times New Roman"/>
                <w:szCs w:val="24"/>
              </w:rPr>
              <w:t>.</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40</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46</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8</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Gatirari</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42</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30</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9</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Gikuru</w:t>
            </w:r>
            <w:r>
              <w:rPr>
                <w:rFonts w:cs="Times New Roman" w:eastAsia="Times New Roman"/>
                <w:szCs w:val="24"/>
              </w:rPr>
              <w:t xml:space="preserve"> </w:t>
            </w:r>
            <w:r>
              <w:rPr>
                <w:rFonts w:cs="Times New Roman" w:eastAsia="Times New Roman"/>
                <w:szCs w:val="24"/>
              </w:rPr>
              <w:t>Pri</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36</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44</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10</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Iriaitune</w:t>
            </w:r>
            <w:r>
              <w:rPr>
                <w:rFonts w:cs="Times New Roman" w:eastAsia="Times New Roman"/>
                <w:szCs w:val="24"/>
              </w:rPr>
              <w:t xml:space="preserve"> </w:t>
            </w:r>
            <w:r>
              <w:rPr>
                <w:rFonts w:cs="Times New Roman" w:eastAsia="Times New Roman"/>
                <w:szCs w:val="24"/>
              </w:rPr>
              <w:t>Pri</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63</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65</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11</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Kageri</w:t>
            </w:r>
            <w:r>
              <w:rPr>
                <w:rFonts w:cs="Times New Roman" w:eastAsia="Times New Roman"/>
                <w:szCs w:val="24"/>
              </w:rPr>
              <w:t xml:space="preserve"> </w:t>
            </w:r>
            <w:r>
              <w:rPr>
                <w:rFonts w:cs="Times New Roman" w:eastAsia="Times New Roman"/>
                <w:szCs w:val="24"/>
              </w:rPr>
              <w:t>Pri</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37</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27</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12</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Ngarwereri</w:t>
            </w:r>
            <w:r>
              <w:rPr>
                <w:rFonts w:cs="Times New Roman" w:eastAsia="Times New Roman"/>
                <w:szCs w:val="24"/>
              </w:rPr>
              <w:t xml:space="preserve"> </w:t>
            </w:r>
            <w:r>
              <w:rPr>
                <w:rFonts w:cs="Times New Roman" w:eastAsia="Times New Roman"/>
                <w:szCs w:val="24"/>
              </w:rPr>
              <w:t>Pri</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39</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40</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13</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 xml:space="preserve">S.A </w:t>
            </w:r>
            <w:r>
              <w:rPr>
                <w:rFonts w:cs="Times New Roman" w:eastAsia="Times New Roman"/>
                <w:szCs w:val="24"/>
              </w:rPr>
              <w:t>Muthanthara</w:t>
            </w:r>
            <w:r>
              <w:rPr>
                <w:rFonts w:cs="Times New Roman" w:eastAsia="Times New Roman"/>
                <w:szCs w:val="24"/>
              </w:rPr>
              <w:t>  Pr. Sch.</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24</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25</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15" w:hRule="atLeast"/>
        </w:trPr>
        <w:tc>
          <w:tcPr>
            <w:tcW w:w="532"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14</w:t>
            </w:r>
          </w:p>
        </w:tc>
        <w:tc>
          <w:tcPr>
            <w:tcW w:w="1181" w:type="pct"/>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Rianjeru</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590"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30</w:t>
            </w:r>
          </w:p>
        </w:tc>
        <w:tc>
          <w:tcPr>
            <w:tcW w:w="1062"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30</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8</w:t>
            </w:r>
          </w:p>
        </w:tc>
        <w:tc>
          <w:tcPr>
            <w:tcW w:w="818" w:type="pct"/>
            <w:tcBorders/>
            <w:noWrap/>
            <w:vAlign w:val="bottom"/>
            <w:hideMark/>
          </w:tcPr>
          <w:p>
            <w:pPr>
              <w:pStyle w:val="style0"/>
              <w:spacing w:before="0" w:after="0" w:lineRule="auto" w:line="240"/>
              <w:jc w:val="center"/>
              <w:rPr>
                <w:rFonts w:cs="Times New Roman" w:eastAsia="Times New Roman"/>
                <w:szCs w:val="24"/>
              </w:rPr>
            </w:pPr>
            <w:r>
              <w:rPr>
                <w:rFonts w:cs="Times New Roman" w:eastAsia="Times New Roman"/>
                <w:szCs w:val="24"/>
              </w:rPr>
              <w:t>1</w:t>
            </w:r>
          </w:p>
        </w:tc>
      </w:tr>
      <w:tr>
        <w:tblPrEx/>
        <w:trPr>
          <w:trHeight w:val="300" w:hRule="atLeast"/>
        </w:trPr>
        <w:tc>
          <w:tcPr>
            <w:tcW w:w="532" w:type="pct"/>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Total</w:t>
            </w:r>
          </w:p>
        </w:tc>
        <w:tc>
          <w:tcPr>
            <w:tcW w:w="1181" w:type="pct"/>
            <w:tcBorders/>
            <w:noWrap/>
            <w:vAlign w:val="bottom"/>
            <w:hideMark/>
          </w:tcPr>
          <w:p>
            <w:pPr>
              <w:pStyle w:val="style0"/>
              <w:spacing w:before="0" w:after="0" w:lineRule="auto" w:line="240"/>
              <w:rPr>
                <w:rFonts w:cs="Times New Roman" w:eastAsia="Times New Roman"/>
                <w:b/>
                <w:szCs w:val="24"/>
              </w:rPr>
            </w:pPr>
          </w:p>
        </w:tc>
        <w:tc>
          <w:tcPr>
            <w:tcW w:w="590" w:type="pct"/>
            <w:tcBorders/>
            <w:noWrap/>
            <w:vAlign w:val="bottom"/>
            <w:hideMark/>
          </w:tcPr>
          <w:p>
            <w:pPr>
              <w:pStyle w:val="style0"/>
              <w:spacing w:before="0" w:after="0" w:lineRule="auto" w:line="240"/>
              <w:jc w:val="center"/>
              <w:rPr>
                <w:rFonts w:cs="Times New Roman" w:eastAsia="Times New Roman"/>
                <w:b/>
                <w:szCs w:val="24"/>
              </w:rPr>
            </w:pPr>
            <w:r>
              <w:rPr>
                <w:rFonts w:cs="Times New Roman" w:eastAsia="Times New Roman"/>
                <w:b/>
                <w:szCs w:val="24"/>
              </w:rPr>
              <w:t>560</w:t>
            </w:r>
          </w:p>
        </w:tc>
        <w:tc>
          <w:tcPr>
            <w:tcW w:w="1062" w:type="pct"/>
            <w:tcBorders/>
            <w:noWrap/>
            <w:vAlign w:val="bottom"/>
            <w:hideMark/>
          </w:tcPr>
          <w:p>
            <w:pPr>
              <w:pStyle w:val="style0"/>
              <w:spacing w:before="0" w:after="0" w:lineRule="auto" w:line="240"/>
              <w:jc w:val="center"/>
              <w:rPr>
                <w:rFonts w:cs="Times New Roman" w:eastAsia="Times New Roman"/>
                <w:b/>
                <w:szCs w:val="24"/>
              </w:rPr>
            </w:pPr>
            <w:r>
              <w:rPr>
                <w:rFonts w:cs="Times New Roman" w:eastAsia="Times New Roman"/>
                <w:b/>
                <w:szCs w:val="24"/>
              </w:rPr>
              <w:t>512</w:t>
            </w:r>
          </w:p>
        </w:tc>
        <w:tc>
          <w:tcPr>
            <w:tcW w:w="818" w:type="pct"/>
            <w:tcBorders/>
            <w:noWrap/>
            <w:vAlign w:val="bottom"/>
            <w:hideMark/>
          </w:tcPr>
          <w:p>
            <w:pPr>
              <w:pStyle w:val="style0"/>
              <w:spacing w:before="0" w:after="0" w:lineRule="auto" w:line="240"/>
              <w:jc w:val="center"/>
              <w:rPr>
                <w:rFonts w:cs="Times New Roman" w:eastAsia="Times New Roman"/>
                <w:b/>
                <w:szCs w:val="24"/>
              </w:rPr>
            </w:pPr>
            <w:r>
              <w:rPr>
                <w:rFonts w:cs="Times New Roman" w:eastAsia="Times New Roman"/>
                <w:b/>
                <w:szCs w:val="24"/>
              </w:rPr>
              <w:t>112</w:t>
            </w:r>
          </w:p>
        </w:tc>
        <w:tc>
          <w:tcPr>
            <w:tcW w:w="818" w:type="pct"/>
            <w:tcBorders/>
            <w:noWrap/>
            <w:vAlign w:val="bottom"/>
            <w:hideMark/>
          </w:tcPr>
          <w:p>
            <w:pPr>
              <w:pStyle w:val="style0"/>
              <w:spacing w:before="0" w:after="0" w:lineRule="auto" w:line="240"/>
              <w:jc w:val="center"/>
              <w:rPr>
                <w:rFonts w:cs="Times New Roman" w:eastAsia="Times New Roman"/>
                <w:b/>
                <w:szCs w:val="24"/>
              </w:rPr>
            </w:pPr>
            <w:r>
              <w:rPr>
                <w:rFonts w:cs="Times New Roman" w:eastAsia="Times New Roman"/>
                <w:b/>
                <w:szCs w:val="24"/>
              </w:rPr>
              <w:t>14</w:t>
            </w:r>
          </w:p>
        </w:tc>
      </w:tr>
      <w:bookmarkStart w:id="62" w:name="_Toc59200097"/>
      <w:bookmarkStart w:id="63" w:name="_Toc144283197"/>
    </w:tbl>
    <w:p>
      <w:pPr>
        <w:pStyle w:val="style2"/>
        <w:rPr/>
      </w:pPr>
      <w:r>
        <w:t>3.4</w:t>
      </w:r>
      <w:r>
        <w:t xml:space="preserve"> </w:t>
      </w:r>
      <w:r>
        <w:t xml:space="preserve">Sampling </w:t>
      </w:r>
      <w:r>
        <w:t>t</w:t>
      </w:r>
      <w:r>
        <w:t>echniques</w:t>
      </w:r>
      <w:bookmarkEnd w:id="62"/>
      <w:bookmarkEnd w:id="63"/>
    </w:p>
    <w:p>
      <w:pPr>
        <w:pStyle w:val="style0"/>
        <w:rPr/>
      </w:pPr>
      <w:r>
        <w:t>To ensure a comprehensive and representative sample that aligned with the research objectives, the study's methodology used a combination of purposive sampling and stratified random sampling. Purposive sampling was used to specifically target individuals with valuable insights and experiences relevant to the study's focus on socioeconomic factors and academic achievement. This method allowed the researcher to select participants who had a thorough understanding of the factors under investigation, thereby improving the quality and relevance of the data collected.</w:t>
      </w:r>
      <w:r>
        <w:t xml:space="preserve"> </w:t>
      </w:r>
      <w:r>
        <w:t xml:space="preserve">The use of stratified random sampling for class teachers, on the other hand, contributed to the study's robustness by minimizing potential bias and ensuring diversity within this subgroup. By stratifying the population of class teachers across the fourteen schools, each stratum represented a distinct segment of the larger population. This method aided in the capture of a balanced representation of perspectives and experiences from various schools, contributing to the study's external validity and generalizability of findings. Overall, a combination of purposive sampling and stratified random sampling was chosen to maximize the accuracy and breadth of data collected, in </w:t>
      </w:r>
      <w:r>
        <w:t>keeping with the study's goal of thoroughly investigating the relationship between socioeconomic factors and academic achievement.</w:t>
      </w:r>
    </w:p>
    <w:p>
      <w:pPr>
        <w:pStyle w:val="style0"/>
        <w:rPr>
          <w:b/>
        </w:rPr>
      </w:pPr>
      <w:r>
        <w:rPr>
          <w:b/>
        </w:rPr>
        <w:t>3.4.1</w:t>
      </w:r>
      <w:r>
        <w:rPr>
          <w:b/>
        </w:rPr>
        <w:t xml:space="preserve"> </w:t>
      </w:r>
      <w:r>
        <w:rPr>
          <w:b/>
        </w:rPr>
        <w:t>Sample size</w:t>
      </w:r>
    </w:p>
    <w:p>
      <w:pPr>
        <w:pStyle w:val="style0"/>
        <w:rPr/>
      </w:pPr>
      <w:r>
        <w:t xml:space="preserve">Lenth (2001) defines a sample as a representative subset of a larger population that embodies its characteristics. Established methodologies guided the determination of appropriate sample sizes for the study's various respondent groups, ensuring the accuracy and manageability of data collection. The sample sizes for parent representatives and class teachers were calculated using the </w:t>
      </w:r>
      <w:r>
        <w:t>Krejcie</w:t>
      </w:r>
      <w:r>
        <w:t xml:space="preserve"> and Morgan (1970) sampling table, which is detailed in Appendix VIII. This approach was founded on statistical principles and contributed to ensuring that the sample chosen adequately represented the larger population. The study aimed to capture a diverse range of perspectives while keeping data collection manageable by using this method.</w:t>
      </w:r>
    </w:p>
    <w:p>
      <w:pPr>
        <w:pStyle w:val="style0"/>
        <w:rPr/>
      </w:pPr>
      <w:r>
        <w:t xml:space="preserve">Focus Group Discussions (FDGs) were conducted with a sample size of 10% of the student population. This strategy was consistent with </w:t>
      </w:r>
      <w:r>
        <w:t>Mugendea</w:t>
      </w:r>
      <w:r>
        <w:t xml:space="preserve"> and Mugenda's (2003) recommendation that a sample size of at least 10% of the target population be used. Furthermore, FDGs generally necessitated smaller sample sizes in order to facilitate meaningful and in-depth discussions. Using this methodology, the study aimed to collect rich qualitative insights while ensuring active and comprehensive participation from students. Table 3.2 summarizes the overall sample size for all respondents. This table demonstrated how the sample sizes for each respondent group were determined, ensuring that the study's findings were statistically sound as well as practically feasible.</w:t>
      </w: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bookmarkStart w:id="64" w:name="_Toc144196176"/>
    <w:p>
      <w:pPr>
        <w:pStyle w:val="style4"/>
        <w:spacing w:before="120" w:after="120"/>
        <w:rPr/>
      </w:pPr>
      <w:r>
        <w:t>Table 3.2: Sample size</w:t>
      </w:r>
      <w:bookmarkEnd w:id="64"/>
    </w:p>
    <w:tbl>
      <w:tblPr>
        <w:tblW w:w="9285" w:type="dxa"/>
        <w:tblInd w:w="93" w:type="dxa"/>
        <w:tblBorders>
          <w:top w:val="single" w:sz="4" w:space="0" w:color="auto"/>
        </w:tblBorders>
        <w:tblLook w:val="04A0" w:firstRow="1" w:lastRow="0" w:firstColumn="1" w:lastColumn="0" w:noHBand="0" w:noVBand="1"/>
      </w:tblPr>
      <w:tblGrid>
        <w:gridCol w:w="1527"/>
        <w:gridCol w:w="2358"/>
        <w:gridCol w:w="1170"/>
        <w:gridCol w:w="1890"/>
        <w:gridCol w:w="1170"/>
        <w:gridCol w:w="1170"/>
      </w:tblGrid>
      <w:tr>
        <w:trPr>
          <w:trHeight w:val="300" w:hRule="atLeast"/>
        </w:trPr>
        <w:tc>
          <w:tcPr>
            <w:tcW w:w="1527" w:type="dxa"/>
            <w:tcBorders>
              <w:top w:val="single" w:sz="4" w:space="0" w:color="auto"/>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Item</w:t>
            </w:r>
          </w:p>
        </w:tc>
        <w:tc>
          <w:tcPr>
            <w:tcW w:w="2358" w:type="dxa"/>
            <w:tcBorders>
              <w:top w:val="single" w:sz="4" w:space="0" w:color="auto"/>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School</w:t>
            </w:r>
          </w:p>
        </w:tc>
        <w:tc>
          <w:tcPr>
            <w:tcW w:w="1170" w:type="dxa"/>
            <w:tcBorders>
              <w:top w:val="single" w:sz="4" w:space="0" w:color="auto"/>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Pupils</w:t>
            </w:r>
          </w:p>
        </w:tc>
        <w:tc>
          <w:tcPr>
            <w:tcW w:w="1890" w:type="dxa"/>
            <w:tcBorders>
              <w:top w:val="single" w:sz="4" w:space="0" w:color="auto"/>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Parent representatives</w:t>
            </w:r>
          </w:p>
        </w:tc>
        <w:tc>
          <w:tcPr>
            <w:tcW w:w="1170" w:type="dxa"/>
            <w:tcBorders>
              <w:top w:val="single" w:sz="4" w:space="0" w:color="auto"/>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Class teachers</w:t>
            </w:r>
          </w:p>
        </w:tc>
        <w:tc>
          <w:tcPr>
            <w:tcW w:w="1170" w:type="dxa"/>
            <w:tcBorders>
              <w:top w:val="single" w:sz="4" w:space="0" w:color="auto"/>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Head teachers</w:t>
            </w:r>
          </w:p>
        </w:tc>
      </w:tr>
      <w:tr>
        <w:tblPrEx/>
        <w:trPr>
          <w:trHeight w:val="315" w:hRule="atLeast"/>
        </w:trPr>
        <w:tc>
          <w:tcPr>
            <w:tcW w:w="1527" w:type="dxa"/>
            <w:tcBorders>
              <w:top w:val="single" w:sz="4" w:space="0" w:color="auto"/>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c>
          <w:tcPr>
            <w:tcW w:w="2358" w:type="dxa"/>
            <w:tcBorders>
              <w:top w:val="single" w:sz="4" w:space="0" w:color="auto"/>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Kaseve</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1170" w:type="dxa"/>
            <w:tcBorders>
              <w:top w:val="single" w:sz="4" w:space="0" w:color="auto"/>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3</w:t>
            </w:r>
          </w:p>
        </w:tc>
        <w:tc>
          <w:tcPr>
            <w:tcW w:w="1890" w:type="dxa"/>
            <w:tcBorders>
              <w:top w:val="single" w:sz="4" w:space="0" w:color="auto"/>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11</w:t>
            </w:r>
          </w:p>
        </w:tc>
        <w:tc>
          <w:tcPr>
            <w:tcW w:w="1170" w:type="dxa"/>
            <w:tcBorders>
              <w:top w:val="single" w:sz="4" w:space="0" w:color="auto"/>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top w:val="single" w:sz="4" w:space="0" w:color="auto"/>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2</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Ndune</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3</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10</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3</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 xml:space="preserve">Kalisa </w:t>
            </w:r>
            <w:r>
              <w:rPr>
                <w:rFonts w:cs="Times New Roman" w:eastAsia="Times New Roman"/>
                <w:szCs w:val="24"/>
              </w:rPr>
              <w:t>Pri</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4</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13</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4</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Ciangera</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6</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22</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7</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5</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 xml:space="preserve">Consolata Karaba </w:t>
            </w:r>
            <w:r>
              <w:rPr>
                <w:rFonts w:cs="Times New Roman" w:eastAsia="Times New Roman"/>
                <w:szCs w:val="24"/>
              </w:rPr>
              <w:t>Pri</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4</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6</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 xml:space="preserve">Deb </w:t>
            </w:r>
            <w:r>
              <w:rPr>
                <w:rFonts w:cs="Times New Roman" w:eastAsia="Times New Roman"/>
                <w:szCs w:val="24"/>
              </w:rPr>
              <w:t>Kikumini</w:t>
            </w:r>
            <w:r>
              <w:rPr>
                <w:rFonts w:cs="Times New Roman" w:eastAsia="Times New Roman"/>
                <w:szCs w:val="24"/>
              </w:rPr>
              <w:t xml:space="preserve"> </w:t>
            </w:r>
            <w:r>
              <w:rPr>
                <w:rFonts w:cs="Times New Roman" w:eastAsia="Times New Roman"/>
                <w:szCs w:val="24"/>
              </w:rPr>
              <w:t>Pri</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5</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17</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7</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Gacabari</w:t>
            </w:r>
            <w:r>
              <w:rPr>
                <w:rFonts w:cs="Times New Roman" w:eastAsia="Times New Roman"/>
                <w:szCs w:val="24"/>
              </w:rPr>
              <w:t xml:space="preserve">  </w:t>
            </w:r>
            <w:r>
              <w:rPr>
                <w:rFonts w:cs="Times New Roman" w:eastAsia="Times New Roman"/>
                <w:szCs w:val="24"/>
              </w:rPr>
              <w:t>Pri.Sch</w:t>
            </w:r>
            <w:r>
              <w:rPr>
                <w:rFonts w:cs="Times New Roman" w:eastAsia="Times New Roman"/>
                <w:szCs w:val="24"/>
              </w:rPr>
              <w:t>.</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4</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20</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7</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8</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Gatirari</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4</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13</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9</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Gikuru</w:t>
            </w:r>
            <w:r>
              <w:rPr>
                <w:rFonts w:cs="Times New Roman" w:eastAsia="Times New Roman"/>
                <w:szCs w:val="24"/>
              </w:rPr>
              <w:t xml:space="preserve"> </w:t>
            </w:r>
            <w:r>
              <w:rPr>
                <w:rFonts w:cs="Times New Roman" w:eastAsia="Times New Roman"/>
                <w:szCs w:val="24"/>
              </w:rPr>
              <w:t>Pri</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4</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19</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10</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Iriaitune</w:t>
            </w:r>
            <w:r>
              <w:rPr>
                <w:rFonts w:cs="Times New Roman" w:eastAsia="Times New Roman"/>
                <w:szCs w:val="24"/>
              </w:rPr>
              <w:t xml:space="preserve"> </w:t>
            </w:r>
            <w:r>
              <w:rPr>
                <w:rFonts w:cs="Times New Roman" w:eastAsia="Times New Roman"/>
                <w:szCs w:val="24"/>
              </w:rPr>
              <w:t>Pri</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6</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28</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9</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11</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Kageri</w:t>
            </w:r>
            <w:r>
              <w:rPr>
                <w:rFonts w:cs="Times New Roman" w:eastAsia="Times New Roman"/>
                <w:szCs w:val="24"/>
              </w:rPr>
              <w:t xml:space="preserve"> </w:t>
            </w:r>
            <w:r>
              <w:rPr>
                <w:rFonts w:cs="Times New Roman" w:eastAsia="Times New Roman"/>
                <w:szCs w:val="24"/>
              </w:rPr>
              <w:t>Pri</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4</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12</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12</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Ngarwereri</w:t>
            </w:r>
            <w:r>
              <w:rPr>
                <w:rFonts w:cs="Times New Roman" w:eastAsia="Times New Roman"/>
                <w:szCs w:val="24"/>
              </w:rPr>
              <w:t xml:space="preserve"> </w:t>
            </w:r>
            <w:r>
              <w:rPr>
                <w:rFonts w:cs="Times New Roman" w:eastAsia="Times New Roman"/>
                <w:szCs w:val="24"/>
              </w:rPr>
              <w:t>Pri</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4</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17</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13</w:t>
            </w:r>
          </w:p>
        </w:tc>
        <w:tc>
          <w:tcPr>
            <w:tcW w:w="2358"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 xml:space="preserve">S.A </w:t>
            </w:r>
            <w:r>
              <w:rPr>
                <w:rFonts w:cs="Times New Roman" w:eastAsia="Times New Roman"/>
                <w:szCs w:val="24"/>
              </w:rPr>
              <w:t>Muthanthara</w:t>
            </w:r>
            <w:r>
              <w:rPr>
                <w:rFonts w:cs="Times New Roman" w:eastAsia="Times New Roman"/>
                <w:szCs w:val="24"/>
              </w:rPr>
              <w:t>  Pr. Sch.</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2</w:t>
            </w:r>
          </w:p>
        </w:tc>
        <w:tc>
          <w:tcPr>
            <w:tcW w:w="189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11</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315" w:hRule="atLeast"/>
        </w:trPr>
        <w:tc>
          <w:tcPr>
            <w:tcW w:w="1527" w:type="dxa"/>
            <w:tcBorders>
              <w:bottom w:val="nil"/>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14</w:t>
            </w:r>
          </w:p>
        </w:tc>
        <w:tc>
          <w:tcPr>
            <w:tcW w:w="2358" w:type="dxa"/>
            <w:tcBorders>
              <w:bottom w:val="nil"/>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Rianjeru</w:t>
            </w:r>
            <w:r>
              <w:rPr>
                <w:rFonts w:cs="Times New Roman" w:eastAsia="Times New Roman"/>
                <w:szCs w:val="24"/>
              </w:rPr>
              <w:t xml:space="preserve">  </w:t>
            </w:r>
            <w:r>
              <w:rPr>
                <w:rFonts w:cs="Times New Roman" w:eastAsia="Times New Roman"/>
                <w:szCs w:val="24"/>
              </w:rPr>
              <w:t>Pri</w:t>
            </w:r>
            <w:r>
              <w:rPr>
                <w:rFonts w:cs="Times New Roman" w:eastAsia="Times New Roman"/>
                <w:szCs w:val="24"/>
              </w:rPr>
              <w:t>. Sch.</w:t>
            </w:r>
          </w:p>
        </w:tc>
        <w:tc>
          <w:tcPr>
            <w:tcW w:w="1170" w:type="dxa"/>
            <w:tcBorders>
              <w:bottom w:val="nil"/>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Cs w:val="24"/>
              </w:rPr>
              <w:t>3</w:t>
            </w:r>
          </w:p>
        </w:tc>
        <w:tc>
          <w:tcPr>
            <w:tcW w:w="1890" w:type="dxa"/>
            <w:tcBorders>
              <w:bottom w:val="nil"/>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13</w:t>
            </w:r>
          </w:p>
        </w:tc>
        <w:tc>
          <w:tcPr>
            <w:tcW w:w="1170" w:type="dxa"/>
            <w:tcBorders>
              <w:bottom w:val="nil"/>
            </w:tcBorders>
            <w:noWrap/>
            <w:vAlign w:val="bottom"/>
            <w:hideMark/>
          </w:tcPr>
          <w:p>
            <w:pPr>
              <w:pStyle w:val="style0"/>
              <w:spacing w:before="0" w:after="0" w:lineRule="auto" w:line="240"/>
              <w:jc w:val="left"/>
              <w:rPr>
                <w:rFonts w:cs="Times New Roman" w:eastAsia="Times New Roman"/>
                <w:szCs w:val="24"/>
              </w:rPr>
            </w:pPr>
            <w:r>
              <w:rPr>
                <w:rFonts w:cs="Times New Roman"/>
                <w:color w:val="000000"/>
                <w:sz w:val="22"/>
              </w:rPr>
              <w:t>6</w:t>
            </w:r>
          </w:p>
        </w:tc>
        <w:tc>
          <w:tcPr>
            <w:tcW w:w="1170" w:type="dxa"/>
            <w:tcBorders>
              <w:bottom w:val="nil"/>
            </w:tcBorders>
            <w:noWrap/>
            <w:vAlign w:val="bottom"/>
            <w:hideMark/>
          </w:tcPr>
          <w:p>
            <w:pPr>
              <w:pStyle w:val="style0"/>
              <w:spacing w:before="0" w:after="0" w:lineRule="auto" w:line="240"/>
              <w:jc w:val="left"/>
              <w:rPr>
                <w:rFonts w:cs="Times New Roman" w:eastAsia="Times New Roman"/>
                <w:szCs w:val="24"/>
              </w:rPr>
            </w:pPr>
            <w:r>
              <w:rPr>
                <w:rFonts w:cs="Times New Roman" w:eastAsia="Times New Roman"/>
                <w:szCs w:val="24"/>
              </w:rPr>
              <w:t>1</w:t>
            </w:r>
          </w:p>
        </w:tc>
      </w:tr>
      <w:tr>
        <w:tblPrEx/>
        <w:trPr>
          <w:trHeight w:val="503" w:hRule="atLeast"/>
        </w:trPr>
        <w:tc>
          <w:tcPr>
            <w:tcW w:w="1527" w:type="dxa"/>
            <w:tcBorders>
              <w:top w:val="nil"/>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Total</w:t>
            </w:r>
          </w:p>
        </w:tc>
        <w:tc>
          <w:tcPr>
            <w:tcW w:w="2358" w:type="dxa"/>
            <w:tcBorders>
              <w:top w:val="nil"/>
              <w:bottom w:val="single" w:sz="4" w:space="0" w:color="auto"/>
            </w:tcBorders>
            <w:noWrap/>
            <w:vAlign w:val="bottom"/>
            <w:hideMark/>
          </w:tcPr>
          <w:p>
            <w:pPr>
              <w:pStyle w:val="style0"/>
              <w:spacing w:before="0" w:after="0" w:lineRule="auto" w:line="240"/>
              <w:rPr>
                <w:rFonts w:cs="Times New Roman" w:eastAsia="Times New Roman"/>
                <w:b/>
                <w:szCs w:val="24"/>
              </w:rPr>
            </w:pPr>
          </w:p>
        </w:tc>
        <w:tc>
          <w:tcPr>
            <w:tcW w:w="1170" w:type="dxa"/>
            <w:tcBorders>
              <w:top w:val="nil"/>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56</w:t>
            </w:r>
          </w:p>
        </w:tc>
        <w:tc>
          <w:tcPr>
            <w:tcW w:w="1890" w:type="dxa"/>
            <w:tcBorders>
              <w:top w:val="nil"/>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222</w:t>
            </w:r>
          </w:p>
        </w:tc>
        <w:tc>
          <w:tcPr>
            <w:tcW w:w="1170" w:type="dxa"/>
            <w:tcBorders>
              <w:top w:val="nil"/>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89</w:t>
            </w:r>
          </w:p>
        </w:tc>
        <w:tc>
          <w:tcPr>
            <w:tcW w:w="1170" w:type="dxa"/>
            <w:tcBorders>
              <w:top w:val="nil"/>
              <w:bottom w:val="single" w:sz="4" w:space="0" w:color="auto"/>
            </w:tcBorders>
            <w:noWrap/>
            <w:vAlign w:val="bottom"/>
            <w:hideMark/>
          </w:tcPr>
          <w:p>
            <w:pPr>
              <w:pStyle w:val="style0"/>
              <w:spacing w:before="0" w:after="0" w:lineRule="auto" w:line="240"/>
              <w:jc w:val="left"/>
              <w:rPr>
                <w:rFonts w:cs="Times New Roman" w:eastAsia="Times New Roman"/>
                <w:b/>
                <w:szCs w:val="24"/>
              </w:rPr>
            </w:pPr>
            <w:r>
              <w:rPr>
                <w:rFonts w:cs="Times New Roman" w:eastAsia="Times New Roman"/>
                <w:b/>
                <w:szCs w:val="24"/>
              </w:rPr>
              <w:t>14</w:t>
            </w:r>
          </w:p>
        </w:tc>
      </w:tr>
      <w:bookmarkStart w:id="65" w:name="_Toc59200098"/>
      <w:bookmarkStart w:id="66" w:name="_Toc144283198"/>
    </w:tbl>
    <w:p>
      <w:pPr>
        <w:pStyle w:val="style2"/>
        <w:rPr/>
      </w:pPr>
      <w:r>
        <w:t>3.5</w:t>
      </w:r>
      <w:r>
        <w:t xml:space="preserve"> </w:t>
      </w:r>
      <w:r>
        <w:t xml:space="preserve">Research </w:t>
      </w:r>
      <w:r>
        <w:t>i</w:t>
      </w:r>
      <w:r>
        <w:t>nstruments</w:t>
      </w:r>
      <w:bookmarkEnd w:id="65"/>
      <w:bookmarkEnd w:id="66"/>
    </w:p>
    <w:p>
      <w:pPr>
        <w:pStyle w:val="style0"/>
        <w:rPr>
          <w:lang w:val="en-GB"/>
        </w:rPr>
      </w:pPr>
      <w:r>
        <w:rPr>
          <w:lang w:val="en-GB"/>
        </w:rPr>
        <w:t xml:space="preserve">The data for the study was collected using two sets of questionnaires, one for parents and one for teachers. The effectiveness of questionnaires in collecting both closed and open-ended information from a diverse and widespread sample supported this choice (Marshall &amp; Rossman, </w:t>
      </w:r>
      <w:r>
        <w:rPr>
          <w:lang w:val="en-GB"/>
        </w:rPr>
        <w:t>2020</w:t>
      </w:r>
      <w:r>
        <w:rPr>
          <w:lang w:val="en-GB"/>
        </w:rPr>
        <w:t>). Questionnaires were versatile instruments for probing individuals' feelings, motivations, attitudes, accomplishments, and experiences. The structured format of questionnaires allowed for efficient data collection while still allowing participants to express their views in open-ended responses.</w:t>
      </w:r>
    </w:p>
    <w:p>
      <w:pPr>
        <w:pStyle w:val="style0"/>
        <w:rPr>
          <w:lang w:val="en-GB"/>
        </w:rPr>
      </w:pPr>
      <w:r>
        <w:rPr>
          <w:lang w:val="en-GB"/>
        </w:rPr>
        <w:t xml:space="preserve">The study made use of two sets of questionnaires. Questionnaire 1 (Appendix II) was created for parents, and Questionnaire 2 (Appendix IV) was created for teachers. In addition, headteachers were interviewed by an interview guide. Caregivers were interviewed in the respective school boardrooms, with class representatives present. An interview guide guided the interview approach, which used in-depth techniques to encourage open conversations with study participants. This method allowed the researcher to ask follow-up questions, dig deeper into the data, and revisit key questionnaire topics. As a result, these techniques resulted in a more in-depth understanding of attitudes, perceptions, motivations, accomplishments, and individual </w:t>
      </w:r>
      <w:r>
        <w:rPr>
          <w:lang w:val="en-GB"/>
        </w:rPr>
        <w:t>experiences in relation to socioeconomic factors and academic achievement in students.</w:t>
      </w:r>
    </w:p>
    <w:p>
      <w:pPr>
        <w:pStyle w:val="style0"/>
        <w:rPr>
          <w:lang w:val="en-GB"/>
        </w:rPr>
      </w:pPr>
      <w:r>
        <w:rPr>
          <w:lang w:val="en-GB"/>
        </w:rPr>
        <w:t>In addition, the study included five groups of ten students each for Focus Group Discussions (FGDs). The researcher moderated these discussions, which took place in the respective schools. The goal of the focus groups was to foster robust discussions about the impact of socioeconomic factors on students' academic achievement. As the moderator, the researcher ensured that each group member actively participated, fostering a collective exchange of insights.</w:t>
      </w:r>
      <w:r>
        <w:rPr>
          <w:lang w:val="en-GB"/>
        </w:rPr>
        <w:t xml:space="preserve"> </w:t>
      </w:r>
      <w:r>
        <w:rPr>
          <w:lang w:val="en-GB"/>
        </w:rPr>
        <w:t>Finally, the questionnaires, interviews, and Focus Group Discussions were chosen in accordance with the study's objectives and data collection requirements. These instruments, taken as a whole, provided a comprehensive approach to capturing participants' perspectives, attitudes, and experiences, enriching the study's insights into the complex interplay between socioeconomic factors and students' academic achievement.</w:t>
      </w:r>
    </w:p>
    <w:bookmarkStart w:id="67" w:name="_Toc144283199"/>
    <w:bookmarkStart w:id="68" w:name="_Toc520134491"/>
    <w:bookmarkStart w:id="69" w:name="_Toc459368411"/>
    <w:bookmarkStart w:id="70" w:name="_Toc454567056"/>
    <w:bookmarkStart w:id="71" w:name="_Toc425260086"/>
    <w:bookmarkStart w:id="72" w:name="_Toc421293582"/>
    <w:bookmarkStart w:id="73" w:name="_Toc59200100"/>
    <w:p>
      <w:pPr>
        <w:pStyle w:val="style2"/>
        <w:rPr/>
      </w:pPr>
      <w:r>
        <w:rPr>
          <w:rFonts w:cs="Times New Roman"/>
          <w:szCs w:val="24"/>
        </w:rPr>
        <w:t xml:space="preserve">3.6 </w:t>
      </w:r>
      <w:r>
        <w:t>Pilot Test</w:t>
      </w:r>
      <w:bookmarkEnd w:id="67"/>
    </w:p>
    <w:p>
      <w:pPr>
        <w:pStyle w:val="style0"/>
        <w:rPr/>
      </w:pPr>
      <w:r>
        <w:t>A pilot test is defined by Cooper and Schilder (</w:t>
      </w:r>
      <w:r>
        <w:t>2020</w:t>
      </w:r>
      <w:r>
        <w:t xml:space="preserve">) as the duplication and preparation of the main study. A pilot study or test is a small-scale version or trial run carried out in advance of the main study. Pilot testing is performed to improve the precision and suitability of the examination outline and instrumentation (Saunders, Lewis, &amp; Thornhill, </w:t>
      </w:r>
      <w:r>
        <w:t>2020</w:t>
      </w:r>
      <w:r>
        <w:t xml:space="preserve">). It improves the questionnaire so that respondents have no trouble understanding the questions, noting their responses, and recording the data. Furthermore, it enables one to obtain some assessment of the validity of the question and the reasonable dependability of the information that will be gathered (Saunders, Lewis, &amp; Thornhill, </w:t>
      </w:r>
      <w:r>
        <w:t>2020</w:t>
      </w:r>
      <w:r>
        <w:t xml:space="preserve">). A pilot test was conducted to assess the questionnaire's validity and reliability in collecting the data needed for the study. As a result, the pilot study was conducted in three primary schools in </w:t>
      </w:r>
      <w:r>
        <w:t>Siakago</w:t>
      </w:r>
      <w:r>
        <w:t xml:space="preserve">, Embu County, Kenya. </w:t>
      </w:r>
      <w:r>
        <w:t>Katheru</w:t>
      </w:r>
      <w:r>
        <w:t xml:space="preserve"> Primary School, Ack </w:t>
      </w:r>
      <w:r>
        <w:t>Manyati</w:t>
      </w:r>
      <w:r>
        <w:t xml:space="preserve"> Primary School, and </w:t>
      </w:r>
      <w:r>
        <w:t>Nguthi</w:t>
      </w:r>
      <w:r>
        <w:t xml:space="preserve"> Primary School were among them.</w:t>
      </w:r>
    </w:p>
    <w:p>
      <w:pPr>
        <w:pStyle w:val="style3"/>
        <w:spacing w:before="120" w:after="120"/>
        <w:rPr/>
      </w:pPr>
      <w:r>
        <w:t>3.</w:t>
      </w:r>
      <w:r>
        <w:t xml:space="preserve">6.1 </w:t>
      </w:r>
      <w:r>
        <w:t xml:space="preserve">Validity </w:t>
      </w:r>
      <w:r>
        <w:t xml:space="preserve">of test results </w:t>
      </w:r>
    </w:p>
    <w:p>
      <w:pPr>
        <w:pStyle w:val="style0"/>
        <w:rPr/>
      </w:pPr>
      <w:r>
        <w:t xml:space="preserve">The content analysis was used to determine the validity of the research instruments. The extent to which a measurement or assessment tool accurately captures the content or domain it is intended to measure is referred to as content validity. In other words, it determines whether a tool is comprehensive enough to cover all relevant aspects of the </w:t>
      </w:r>
      <w:r>
        <w:t xml:space="preserve">construct being measured. The importance of content validity in test development and validation cannot be overstated. It ensures that the test or assessment tool is suitable for the intended purpose and that it measures what it claims to measure. A measurement tool's content validity can have a significant impact on the results obtained from it. If a tool does not cover all of the relevant aspects of the construct, the results may be incomplete or incorrect. As a result, establishing content validity is critical to ensuring a measurement tool's validity. To ensure content validity, the questionnaires were thoroughly examined by project development supervisors and experts (parent representatives, class teachers, and head teachers) from the pilot schools. The statements in the questionnaires were evaluated for relevance by the supervisors and experts. The instruments were adjusted appropriately based on their evaluation before the final data collection exercise. The supervisors' and experts' review comments were used to improve the content validity. </w:t>
      </w:r>
    </w:p>
    <w:bookmarkStart w:id="74" w:name="_Toc119600336"/>
    <w:p>
      <w:pPr>
        <w:pStyle w:val="style3"/>
        <w:spacing w:before="120" w:after="120"/>
        <w:rPr/>
      </w:pPr>
      <w:r>
        <w:t>3.</w:t>
      </w:r>
      <w:r>
        <w:t>6.2</w:t>
      </w:r>
      <w:r>
        <w:t xml:space="preserve"> Reliability </w:t>
      </w:r>
      <w:r>
        <w:t>test results</w:t>
      </w:r>
      <w:bookmarkEnd w:id="74"/>
      <w:r>
        <w:t xml:space="preserve"> </w:t>
      </w:r>
    </w:p>
    <w:p>
      <w:pPr>
        <w:pStyle w:val="style0"/>
        <w:rPr/>
      </w:pPr>
      <w:r>
        <w:rPr>
          <w:rFonts w:cs="Times New Roman"/>
          <w:szCs w:val="24"/>
        </w:rPr>
        <w:t xml:space="preserve">The researcher calculated the Cronbach alpha coefficient to examine the reliability of the research instruments. The reliability was calculated using Cronbach’s alpha formula and results were generated with the aid of SPSS. </w:t>
      </w:r>
      <w:r>
        <w:t xml:space="preserve">According to Taber (2018), the Cronbach's alpha values of the items included in the study should not be less than 0.7. Cronbach alpha should not be less than 0.7, according to </w:t>
      </w:r>
      <w:r>
        <w:t>Golafshani</w:t>
      </w:r>
      <w:r>
        <w:t xml:space="preserve"> (2003), while Gliem and Gliem (2003) recommend that it be greater than 0.7. Cronbach's alpha coefficients of above 0.7 were </w:t>
      </w:r>
      <w:r>
        <w:t xml:space="preserve">considered acceptable. </w:t>
      </w:r>
    </w:p>
    <w:bookmarkStart w:id="75" w:name="_Toc144283200"/>
    <w:p>
      <w:pPr>
        <w:pStyle w:val="style2"/>
        <w:rPr>
          <w:rFonts w:cs="Times New Roman"/>
          <w:szCs w:val="24"/>
        </w:rPr>
      </w:pPr>
      <w:r>
        <w:rPr>
          <w:rFonts w:cs="Times New Roman"/>
          <w:szCs w:val="24"/>
        </w:rPr>
        <w:t>3.</w:t>
      </w:r>
      <w:bookmarkEnd w:id="68"/>
      <w:bookmarkEnd w:id="69"/>
      <w:bookmarkEnd w:id="70"/>
      <w:bookmarkEnd w:id="71"/>
      <w:bookmarkEnd w:id="72"/>
      <w:r>
        <w:rPr>
          <w:rFonts w:cs="Times New Roman"/>
          <w:szCs w:val="24"/>
        </w:rPr>
        <w:t>7</w:t>
      </w:r>
      <w:r>
        <w:rPr>
          <w:rFonts w:cs="Times New Roman"/>
          <w:szCs w:val="24"/>
        </w:rPr>
        <w:t xml:space="preserve"> </w:t>
      </w:r>
      <w:r>
        <w:rPr>
          <w:lang w:val="en-GB"/>
        </w:rPr>
        <w:t xml:space="preserve">Data </w:t>
      </w:r>
      <w:r>
        <w:rPr>
          <w:lang w:val="en-GB"/>
        </w:rPr>
        <w:t>collection techniques</w:t>
      </w:r>
      <w:bookmarkEnd w:id="73"/>
      <w:bookmarkEnd w:id="75"/>
    </w:p>
    <w:bookmarkStart w:id="76" w:name="_Toc59200101"/>
    <w:p>
      <w:pPr>
        <w:pStyle w:val="style0"/>
        <w:rPr/>
      </w:pPr>
      <w:r>
        <w:t xml:space="preserve">This section detailed the steps and methods used to collect the necessary information for the research study. A detailed description of the data collection process was provided to facilitate replication of the study. The systematic gathering of information relevant to the research sub-problems is defined as data collection (Saunders, Lewis, Thornhill, &amp; Bristow, </w:t>
      </w:r>
      <w:r>
        <w:t>2021</w:t>
      </w:r>
      <w:r>
        <w:t xml:space="preserve">). The research permit was obtained by submitting a letter of introduction from the university to the National Commission for Science, Technology, and Innovation (NACOSTI) to begin the data collection process. This permit allowed the research to be carried out in accordance with ethical and legal guidelines. Two local community research assistants were recruited and trained to help with data collection. Their participation aided in the efficient collection of data and </w:t>
      </w:r>
      <w:r>
        <w:t xml:space="preserve">increased the study's credibility. The researcher distributed questionnaires to the identified respondents in collaboration with the research assistants. The researcher was present to ensure that respondents fully understood the content of the questionnaire, increasing the reliability of the collected data. </w:t>
      </w:r>
    </w:p>
    <w:p>
      <w:pPr>
        <w:pStyle w:val="style0"/>
        <w:rPr/>
      </w:pPr>
      <w:r>
        <w:t>The primary data collection instrument, questionnaires, were distributed using the drop-and-pick method. This method entailed delivering questionnaires to respondents and then collecting them after a set period of time. This method was chosen for its ease of use and effectiveness in reaching a diverse range of respondents, particularly in educational settings. The drop-and-pick method also gave respondents enough time to think about their responses and ensured that they had the resources they needed to complete the questionnaires correctly. In summary, obtaining a research permit, recruiting and training research assistants, distributing questionnaires with researcher guidance, and using the drop-and-pick method for questionnaire distribution and collection were all part of the data collection procedure. This comprehensive approach ensured the systematic and reliable collection of information required to effectively address the research sub-problems.</w:t>
      </w:r>
    </w:p>
    <w:bookmarkStart w:id="77" w:name="_Toc144283201"/>
    <w:p>
      <w:pPr>
        <w:pStyle w:val="style2"/>
        <w:rPr/>
      </w:pPr>
      <w:r>
        <w:t>3.8</w:t>
      </w:r>
      <w:r>
        <w:t xml:space="preserve"> </w:t>
      </w:r>
      <w:r>
        <w:t>Data analysis</w:t>
      </w:r>
      <w:bookmarkEnd w:id="76"/>
      <w:bookmarkEnd w:id="77"/>
    </w:p>
    <w:p>
      <w:pPr>
        <w:pStyle w:val="style0"/>
        <w:rPr/>
      </w:pPr>
      <w:r>
        <w:t>Data analysis is the process of converting raw data into a usable format that can be interpreted, examined, and used to derive insights (Chakravarthy &amp; Jiang, 2019). The collection of quantitative and qualitative data was required for this study. A content analysis method was used to analyze the collected information for the qualitative data. This method entailed sorting and comparing various pieces of qualitative data in order to extract meaningful insights. An interview guide and open-ended questions were used to collect data, and thematic content analysis was used to uncover underlying patterns and themes. Because of its precise and efficient approach to examining written material, content analysis played a significant role in uncovering patterns, themes, and meanings in the qualitative data. This method helped with point-by-point evaluation and a clear understanding of the qualitative data.</w:t>
      </w:r>
    </w:p>
    <w:p>
      <w:pPr>
        <w:pStyle w:val="style0"/>
        <w:rPr/>
      </w:pPr>
      <w:r>
        <w:t xml:space="preserve"> A combination of descriptive and inferential statistical methods was used to analyze the quantitative data. Descriptive statistics provided data summaries that were concise, including measures of central tendency and variability. This method provided a thorough understanding of the data set's characteristics, whether it represented the </w:t>
      </w:r>
      <w:r>
        <w:t xml:space="preserve">entire population or a sample. Furthermore, chi-square tests were used to determine the significance of the relationship between socioeconomic activities and pupils' academic achievement in Karaba Zone, </w:t>
      </w:r>
      <w:r>
        <w:t>Mbeere</w:t>
      </w:r>
      <w:r>
        <w:t xml:space="preserve"> South Sub-County primary schools. The tests were carried out with a 5% level of significance. In conclusion, this study used a dual approach to data analysis, using thematic content analysis for qualitative data and descriptive statistics and chi-square tests for quantitative data. </w:t>
      </w:r>
    </w:p>
    <w:bookmarkStart w:id="78" w:name="_Toc59200102"/>
    <w:bookmarkStart w:id="79" w:name="_Toc144283202"/>
    <w:p>
      <w:pPr>
        <w:pStyle w:val="style2"/>
        <w:rPr/>
      </w:pPr>
      <w:r>
        <w:t>3.9</w:t>
      </w:r>
      <w:r>
        <w:t xml:space="preserve"> </w:t>
      </w:r>
      <w:r>
        <w:t xml:space="preserve">Logistical and </w:t>
      </w:r>
      <w:r>
        <w:t>ethical considerations</w:t>
      </w:r>
      <w:bookmarkEnd w:id="78"/>
      <w:bookmarkEnd w:id="79"/>
    </w:p>
    <w:p>
      <w:pPr>
        <w:pStyle w:val="style0"/>
        <w:jc w:val="left"/>
        <w:rPr>
          <w:rFonts w:cs="宋体" w:eastAsia="宋体"/>
          <w:b/>
          <w:bCs/>
          <w:szCs w:val="28"/>
        </w:rPr>
      </w:pPr>
      <w:r>
        <w:t>The research design included ethical considerations related to the moral standards that the researcher should consider in all research method stages. A consent letter was sought from the university, and all participants gave their informed consent before participating in the study. Responses were confidential, and there was absolute anonymity of responses received. There were no participant identifiers such as names that would link the participant to the data collected; instead, study numbers were created, and coded information was used. Only the participants and the researcher were allowed access to the data for the study.</w:t>
      </w:r>
      <w:r>
        <w:br w:type="page"/>
      </w:r>
    </w:p>
    <w:bookmarkStart w:id="80" w:name="_Toc144283203"/>
    <w:p>
      <w:pPr>
        <w:pStyle w:val="style1"/>
        <w:spacing w:lineRule="auto" w:line="480"/>
        <w:rPr/>
      </w:pPr>
      <w:r>
        <w:t>CHAPTER FOUR</w:t>
      </w:r>
      <w:bookmarkStart w:id="81" w:name="_Toc26971015"/>
      <w:bookmarkEnd w:id="80"/>
    </w:p>
    <w:bookmarkStart w:id="82" w:name="_Toc144283204"/>
    <w:bookmarkEnd w:id="81"/>
    <w:p>
      <w:pPr>
        <w:pStyle w:val="style1"/>
        <w:spacing w:lineRule="auto" w:line="480"/>
        <w:rPr/>
      </w:pPr>
      <w:r>
        <w:t>RESULTS, INTEPRETATION AND DISCUSSION</w:t>
      </w:r>
      <w:bookmarkEnd w:id="82"/>
    </w:p>
    <w:bookmarkStart w:id="83" w:name="_Toc45891306"/>
    <w:bookmarkStart w:id="84" w:name="_Toc26971016"/>
    <w:bookmarkStart w:id="85" w:name="_Toc467588525"/>
    <w:bookmarkStart w:id="86" w:name="_Toc459133108"/>
    <w:bookmarkStart w:id="87" w:name="_Toc458092216"/>
    <w:bookmarkStart w:id="88" w:name="_Toc458092058"/>
    <w:bookmarkStart w:id="89" w:name="_Toc458091608"/>
    <w:bookmarkStart w:id="90" w:name="_Toc447883380"/>
    <w:bookmarkStart w:id="91" w:name="_Toc446511488"/>
    <w:bookmarkStart w:id="92" w:name="_Toc428794401"/>
    <w:bookmarkStart w:id="93" w:name="_Toc428291563"/>
    <w:bookmarkStart w:id="94" w:name="_Toc412299969"/>
    <w:bookmarkStart w:id="95" w:name="_Toc144283205"/>
    <w:p>
      <w:pPr>
        <w:pStyle w:val="style2"/>
        <w:rPr/>
      </w:pPr>
      <w:r>
        <w:t>4.1</w:t>
      </w:r>
      <w:r>
        <w:t xml:space="preserve"> </w:t>
      </w:r>
      <w:r>
        <w:t>Introduction</w:t>
      </w:r>
      <w:bookmarkEnd w:id="83"/>
      <w:bookmarkEnd w:id="84"/>
      <w:bookmarkEnd w:id="85"/>
      <w:bookmarkEnd w:id="86"/>
      <w:bookmarkEnd w:id="87"/>
      <w:bookmarkEnd w:id="88"/>
      <w:bookmarkEnd w:id="89"/>
      <w:bookmarkEnd w:id="90"/>
      <w:bookmarkEnd w:id="91"/>
      <w:bookmarkEnd w:id="92"/>
      <w:bookmarkEnd w:id="93"/>
      <w:bookmarkEnd w:id="94"/>
      <w:bookmarkEnd w:id="95"/>
    </w:p>
    <w:bookmarkStart w:id="96" w:name="_Toc45891307"/>
    <w:bookmarkStart w:id="97" w:name="_Toc26971017"/>
    <w:bookmarkStart w:id="98" w:name="_Toc467588526"/>
    <w:bookmarkStart w:id="99" w:name="_Toc459368417"/>
    <w:bookmarkStart w:id="100" w:name="_Toc454567062"/>
    <w:p>
      <w:pPr>
        <w:pStyle w:val="style0"/>
        <w:rPr/>
      </w:pPr>
      <w:r>
        <w:t>The chapter present</w:t>
      </w:r>
      <w:r>
        <w:t xml:space="preserve">ed </w:t>
      </w:r>
      <w:r>
        <w:t xml:space="preserve">the research findings, presentation, interpretation, and a discussion of the implications. It </w:t>
      </w:r>
      <w:r>
        <w:t>was</w:t>
      </w:r>
      <w:r>
        <w:t xml:space="preserve"> organized through survey response rate and presentation of the results per the study objectives.</w:t>
      </w:r>
    </w:p>
    <w:bookmarkStart w:id="101" w:name="_Toc144283206"/>
    <w:p>
      <w:pPr>
        <w:pStyle w:val="style2"/>
        <w:rPr/>
      </w:pPr>
      <w:r>
        <w:t>4.2</w:t>
      </w:r>
      <w:r>
        <w:t xml:space="preserve"> </w:t>
      </w:r>
      <w:r>
        <w:t>Questionnaire return rate</w:t>
      </w:r>
      <w:bookmarkEnd w:id="96"/>
      <w:bookmarkEnd w:id="97"/>
      <w:bookmarkEnd w:id="98"/>
      <w:bookmarkEnd w:id="99"/>
      <w:bookmarkEnd w:id="100"/>
      <w:bookmarkEnd w:id="101"/>
    </w:p>
    <w:bookmarkStart w:id="102" w:name="_Toc26870055"/>
    <w:bookmarkStart w:id="103" w:name="_Toc464283554"/>
    <w:bookmarkStart w:id="104" w:name="_Toc459368093"/>
    <w:bookmarkStart w:id="105" w:name="_Toc452672805"/>
    <w:p>
      <w:pPr>
        <w:pStyle w:val="style0"/>
        <w:rPr/>
      </w:pPr>
      <w:r>
        <w:t>The return rate provides a profile of respondents who participated in the study. The study respondents were parent representatives, pupils, class teachers, and head teachers. Therefore, it was necessary to indicate the response rate in order to confirm that the participation rate by respondents was adequate to conduct the analysis. The survey response rate for the study is presented in Table 4.1.</w:t>
      </w:r>
    </w:p>
    <w:bookmarkStart w:id="106" w:name="_Toc144196177"/>
    <w:p>
      <w:pPr>
        <w:pStyle w:val="style4"/>
        <w:spacing w:before="120" w:after="120"/>
        <w:rPr/>
      </w:pPr>
      <w:r>
        <w:t>Table 4.1: Survey Response rate</w:t>
      </w:r>
      <w:bookmarkEnd w:id="102"/>
      <w:bookmarkEnd w:id="103"/>
      <w:bookmarkEnd w:id="104"/>
      <w:bookmarkEnd w:id="105"/>
      <w:bookmarkEnd w:id="106"/>
    </w:p>
    <w:tbl>
      <w:tblPr>
        <w:tblW w:w="5000" w:type="pct"/>
        <w:tblLayout w:type="fixed"/>
        <w:tblLook w:val="04A0" w:firstRow="1" w:lastRow="0" w:firstColumn="1" w:lastColumn="0" w:noHBand="0" w:noVBand="1"/>
      </w:tblPr>
      <w:tblGrid>
        <w:gridCol w:w="2295"/>
        <w:gridCol w:w="1674"/>
        <w:gridCol w:w="1276"/>
        <w:gridCol w:w="1559"/>
        <w:gridCol w:w="1417"/>
      </w:tblGrid>
      <w:tr>
        <w:trPr>
          <w:trHeight w:val="300" w:hRule="atLeast"/>
        </w:trPr>
        <w:tc>
          <w:tcPr>
            <w:tcW w:w="1396" w:type="pct"/>
            <w:tcBorders>
              <w:top w:val="single" w:sz="4" w:space="0" w:color="auto"/>
              <w:left w:val="nil"/>
              <w:bottom w:val="single" w:sz="4" w:space="0" w:color="auto"/>
              <w:right w:val="nil"/>
            </w:tcBorders>
            <w:noWrap/>
            <w:vAlign w:val="bottom"/>
            <w:hideMark/>
          </w:tcPr>
          <w:p>
            <w:pPr>
              <w:pStyle w:val="style0"/>
              <w:spacing w:lineRule="auto" w:line="240"/>
              <w:jc w:val="left"/>
              <w:rPr>
                <w:b/>
                <w:bCs/>
                <w:color w:val="000000"/>
                <w:szCs w:val="24"/>
              </w:rPr>
            </w:pPr>
            <w:r>
              <w:rPr>
                <w:b/>
                <w:bCs/>
                <w:color w:val="000000"/>
                <w:szCs w:val="24"/>
              </w:rPr>
              <w:t>Respondents’</w:t>
            </w:r>
            <w:r>
              <w:rPr>
                <w:b/>
                <w:bCs/>
                <w:color w:val="000000"/>
                <w:szCs w:val="24"/>
              </w:rPr>
              <w:t xml:space="preserve"> category</w:t>
            </w:r>
          </w:p>
        </w:tc>
        <w:tc>
          <w:tcPr>
            <w:tcW w:w="1018" w:type="pct"/>
            <w:tcBorders>
              <w:top w:val="single" w:sz="4" w:space="0" w:color="auto"/>
              <w:left w:val="nil"/>
              <w:bottom w:val="single" w:sz="4" w:space="0" w:color="auto"/>
              <w:right w:val="nil"/>
            </w:tcBorders>
            <w:noWrap/>
            <w:vAlign w:val="bottom"/>
            <w:hideMark/>
          </w:tcPr>
          <w:p>
            <w:pPr>
              <w:pStyle w:val="style0"/>
              <w:spacing w:lineRule="auto" w:line="240"/>
              <w:jc w:val="center"/>
              <w:rPr>
                <w:b/>
                <w:bCs/>
                <w:color w:val="000000"/>
                <w:szCs w:val="24"/>
              </w:rPr>
            </w:pPr>
            <w:r>
              <w:rPr>
                <w:b/>
                <w:bCs/>
                <w:color w:val="000000"/>
                <w:szCs w:val="24"/>
              </w:rPr>
              <w:t>Administered</w:t>
            </w:r>
          </w:p>
        </w:tc>
        <w:tc>
          <w:tcPr>
            <w:tcW w:w="776" w:type="pct"/>
            <w:tcBorders>
              <w:top w:val="single" w:sz="4" w:space="0" w:color="auto"/>
              <w:left w:val="nil"/>
              <w:bottom w:val="single" w:sz="4" w:space="0" w:color="auto"/>
              <w:right w:val="nil"/>
            </w:tcBorders>
            <w:noWrap/>
            <w:vAlign w:val="bottom"/>
            <w:hideMark/>
          </w:tcPr>
          <w:p>
            <w:pPr>
              <w:pStyle w:val="style0"/>
              <w:spacing w:lineRule="auto" w:line="240"/>
              <w:jc w:val="center"/>
              <w:rPr>
                <w:b/>
                <w:bCs/>
                <w:color w:val="000000"/>
                <w:szCs w:val="24"/>
              </w:rPr>
            </w:pPr>
            <w:r>
              <w:rPr>
                <w:b/>
                <w:bCs/>
                <w:color w:val="000000"/>
                <w:szCs w:val="24"/>
              </w:rPr>
              <w:t>Returned</w:t>
            </w:r>
          </w:p>
        </w:tc>
        <w:tc>
          <w:tcPr>
            <w:tcW w:w="948" w:type="pct"/>
            <w:tcBorders>
              <w:top w:val="single" w:sz="4" w:space="0" w:color="auto"/>
              <w:left w:val="nil"/>
              <w:bottom w:val="single" w:sz="4" w:space="0" w:color="auto"/>
              <w:right w:val="nil"/>
            </w:tcBorders>
            <w:noWrap/>
            <w:vAlign w:val="bottom"/>
            <w:hideMark/>
          </w:tcPr>
          <w:p>
            <w:pPr>
              <w:pStyle w:val="style0"/>
              <w:spacing w:lineRule="auto" w:line="240"/>
              <w:jc w:val="center"/>
              <w:rPr>
                <w:b/>
                <w:bCs/>
                <w:color w:val="000000"/>
                <w:szCs w:val="24"/>
              </w:rPr>
            </w:pPr>
            <w:r>
              <w:rPr>
                <w:b/>
                <w:bCs/>
                <w:color w:val="000000"/>
                <w:szCs w:val="24"/>
              </w:rPr>
              <w:t>Unreturned</w:t>
            </w:r>
          </w:p>
        </w:tc>
        <w:tc>
          <w:tcPr>
            <w:tcW w:w="862" w:type="pct"/>
            <w:tcBorders>
              <w:top w:val="single" w:sz="4" w:space="0" w:color="auto"/>
              <w:left w:val="nil"/>
              <w:bottom w:val="single" w:sz="4" w:space="0" w:color="auto"/>
              <w:right w:val="nil"/>
            </w:tcBorders>
            <w:noWrap/>
            <w:vAlign w:val="bottom"/>
            <w:hideMark/>
          </w:tcPr>
          <w:p>
            <w:pPr>
              <w:pStyle w:val="style0"/>
              <w:spacing w:lineRule="auto" w:line="240"/>
              <w:jc w:val="center"/>
              <w:rPr>
                <w:b/>
                <w:bCs/>
                <w:color w:val="000000"/>
                <w:szCs w:val="24"/>
              </w:rPr>
            </w:pPr>
            <w:r>
              <w:rPr>
                <w:b/>
                <w:bCs/>
                <w:color w:val="000000"/>
                <w:szCs w:val="24"/>
              </w:rPr>
              <w:t>Percentage returned</w:t>
            </w:r>
          </w:p>
        </w:tc>
      </w:tr>
      <w:tr>
        <w:tblPrEx/>
        <w:trPr>
          <w:trHeight w:val="300" w:hRule="atLeast"/>
        </w:trPr>
        <w:tc>
          <w:tcPr>
            <w:tcW w:w="1396" w:type="pct"/>
            <w:tcBorders/>
            <w:noWrap/>
            <w:vAlign w:val="bottom"/>
            <w:hideMark/>
          </w:tcPr>
          <w:p>
            <w:pPr>
              <w:pStyle w:val="style0"/>
              <w:spacing w:lineRule="auto" w:line="240"/>
              <w:jc w:val="left"/>
              <w:rPr>
                <w:color w:val="000000"/>
                <w:szCs w:val="24"/>
              </w:rPr>
            </w:pPr>
            <w:r>
              <w:t>Parent representatives</w:t>
            </w:r>
          </w:p>
        </w:tc>
        <w:tc>
          <w:tcPr>
            <w:tcW w:w="1018" w:type="pct"/>
            <w:tcBorders/>
            <w:noWrap/>
            <w:vAlign w:val="bottom"/>
            <w:hideMark/>
          </w:tcPr>
          <w:p>
            <w:pPr>
              <w:pStyle w:val="style0"/>
              <w:spacing w:lineRule="auto" w:line="240"/>
              <w:jc w:val="center"/>
              <w:rPr>
                <w:color w:val="000000"/>
                <w:szCs w:val="24"/>
              </w:rPr>
            </w:pPr>
            <w:r>
              <w:rPr>
                <w:color w:val="000000"/>
                <w:szCs w:val="24"/>
              </w:rPr>
              <w:t>222</w:t>
            </w:r>
          </w:p>
        </w:tc>
        <w:tc>
          <w:tcPr>
            <w:tcW w:w="776" w:type="pct"/>
            <w:tcBorders/>
            <w:noWrap/>
            <w:vAlign w:val="bottom"/>
            <w:hideMark/>
          </w:tcPr>
          <w:p>
            <w:pPr>
              <w:pStyle w:val="style0"/>
              <w:spacing w:lineRule="auto" w:line="240"/>
              <w:jc w:val="center"/>
              <w:rPr>
                <w:color w:val="000000"/>
                <w:szCs w:val="24"/>
              </w:rPr>
            </w:pPr>
            <w:r>
              <w:rPr>
                <w:color w:val="000000"/>
                <w:szCs w:val="24"/>
              </w:rPr>
              <w:t>187</w:t>
            </w:r>
          </w:p>
        </w:tc>
        <w:tc>
          <w:tcPr>
            <w:tcW w:w="948" w:type="pct"/>
            <w:tcBorders/>
            <w:noWrap/>
            <w:vAlign w:val="bottom"/>
            <w:hideMark/>
          </w:tcPr>
          <w:p>
            <w:pPr>
              <w:pStyle w:val="style0"/>
              <w:spacing w:lineRule="auto" w:line="240"/>
              <w:jc w:val="center"/>
              <w:rPr>
                <w:color w:val="000000"/>
                <w:szCs w:val="24"/>
              </w:rPr>
            </w:pPr>
            <w:r>
              <w:rPr>
                <w:color w:val="000000"/>
                <w:szCs w:val="24"/>
              </w:rPr>
              <w:t>35</w:t>
            </w:r>
          </w:p>
        </w:tc>
        <w:tc>
          <w:tcPr>
            <w:tcW w:w="862" w:type="pct"/>
            <w:tcBorders/>
            <w:noWrap/>
            <w:vAlign w:val="bottom"/>
            <w:hideMark/>
          </w:tcPr>
          <w:p>
            <w:pPr>
              <w:pStyle w:val="style0"/>
              <w:spacing w:lineRule="auto" w:line="240"/>
              <w:jc w:val="center"/>
              <w:rPr>
                <w:color w:val="000000"/>
                <w:szCs w:val="24"/>
              </w:rPr>
            </w:pPr>
            <w:r>
              <w:rPr>
                <w:color w:val="000000"/>
                <w:szCs w:val="24"/>
              </w:rPr>
              <w:t>84.2</w:t>
            </w:r>
          </w:p>
        </w:tc>
      </w:tr>
      <w:tr>
        <w:tblPrEx/>
        <w:trPr>
          <w:trHeight w:val="300" w:hRule="atLeast"/>
        </w:trPr>
        <w:tc>
          <w:tcPr>
            <w:tcW w:w="1396" w:type="pct"/>
            <w:tcBorders/>
            <w:noWrap/>
            <w:vAlign w:val="bottom"/>
            <w:hideMark/>
          </w:tcPr>
          <w:p>
            <w:pPr>
              <w:pStyle w:val="style0"/>
              <w:spacing w:lineRule="auto" w:line="240"/>
              <w:jc w:val="left"/>
              <w:rPr>
                <w:color w:val="000000"/>
                <w:szCs w:val="24"/>
              </w:rPr>
            </w:pPr>
            <w:r>
              <w:rPr>
                <w:color w:val="000000"/>
                <w:szCs w:val="24"/>
              </w:rPr>
              <w:t>Class teachers</w:t>
            </w:r>
          </w:p>
        </w:tc>
        <w:tc>
          <w:tcPr>
            <w:tcW w:w="1018" w:type="pct"/>
            <w:tcBorders/>
            <w:noWrap/>
            <w:vAlign w:val="bottom"/>
            <w:hideMark/>
          </w:tcPr>
          <w:p>
            <w:pPr>
              <w:pStyle w:val="style0"/>
              <w:spacing w:lineRule="auto" w:line="240"/>
              <w:jc w:val="center"/>
              <w:rPr>
                <w:color w:val="000000"/>
                <w:szCs w:val="24"/>
              </w:rPr>
            </w:pPr>
            <w:r>
              <w:rPr>
                <w:color w:val="000000"/>
                <w:szCs w:val="24"/>
              </w:rPr>
              <w:t>89</w:t>
            </w:r>
          </w:p>
        </w:tc>
        <w:tc>
          <w:tcPr>
            <w:tcW w:w="776" w:type="pct"/>
            <w:tcBorders/>
            <w:noWrap/>
            <w:vAlign w:val="bottom"/>
            <w:hideMark/>
          </w:tcPr>
          <w:p>
            <w:pPr>
              <w:pStyle w:val="style0"/>
              <w:spacing w:lineRule="auto" w:line="240"/>
              <w:jc w:val="center"/>
              <w:rPr>
                <w:color w:val="000000"/>
                <w:szCs w:val="24"/>
              </w:rPr>
            </w:pPr>
            <w:r>
              <w:rPr>
                <w:color w:val="000000"/>
                <w:szCs w:val="24"/>
              </w:rPr>
              <w:t>77</w:t>
            </w:r>
          </w:p>
        </w:tc>
        <w:tc>
          <w:tcPr>
            <w:tcW w:w="948" w:type="pct"/>
            <w:tcBorders/>
            <w:noWrap/>
            <w:vAlign w:val="bottom"/>
            <w:hideMark/>
          </w:tcPr>
          <w:p>
            <w:pPr>
              <w:pStyle w:val="style0"/>
              <w:spacing w:lineRule="auto" w:line="240"/>
              <w:jc w:val="center"/>
              <w:rPr>
                <w:color w:val="000000"/>
                <w:szCs w:val="24"/>
              </w:rPr>
            </w:pPr>
            <w:r>
              <w:rPr>
                <w:color w:val="000000"/>
                <w:szCs w:val="24"/>
              </w:rPr>
              <w:t>12</w:t>
            </w:r>
          </w:p>
        </w:tc>
        <w:tc>
          <w:tcPr>
            <w:tcW w:w="862" w:type="pct"/>
            <w:tcBorders/>
            <w:noWrap/>
            <w:vAlign w:val="bottom"/>
            <w:hideMark/>
          </w:tcPr>
          <w:p>
            <w:pPr>
              <w:pStyle w:val="style0"/>
              <w:spacing w:lineRule="auto" w:line="240"/>
              <w:jc w:val="center"/>
              <w:rPr>
                <w:color w:val="000000"/>
                <w:szCs w:val="24"/>
              </w:rPr>
            </w:pPr>
            <w:r>
              <w:rPr>
                <w:color w:val="000000"/>
                <w:szCs w:val="24"/>
              </w:rPr>
              <w:t>86.5</w:t>
            </w:r>
          </w:p>
        </w:tc>
      </w:tr>
      <w:tr>
        <w:tblPrEx/>
        <w:trPr>
          <w:trHeight w:val="300" w:hRule="atLeast"/>
        </w:trPr>
        <w:tc>
          <w:tcPr>
            <w:tcW w:w="1396" w:type="pct"/>
            <w:tcBorders/>
            <w:noWrap/>
            <w:vAlign w:val="bottom"/>
            <w:hideMark/>
          </w:tcPr>
          <w:p>
            <w:pPr>
              <w:pStyle w:val="style0"/>
              <w:spacing w:lineRule="auto" w:line="240"/>
              <w:jc w:val="left"/>
              <w:rPr>
                <w:color w:val="000000"/>
                <w:szCs w:val="24"/>
              </w:rPr>
            </w:pPr>
            <w:r>
              <w:rPr>
                <w:color w:val="000000"/>
                <w:szCs w:val="24"/>
              </w:rPr>
              <w:t>Pupils</w:t>
            </w:r>
          </w:p>
        </w:tc>
        <w:tc>
          <w:tcPr>
            <w:tcW w:w="1018" w:type="pct"/>
            <w:tcBorders/>
            <w:noWrap/>
            <w:vAlign w:val="bottom"/>
            <w:hideMark/>
          </w:tcPr>
          <w:p>
            <w:pPr>
              <w:pStyle w:val="style0"/>
              <w:spacing w:lineRule="auto" w:line="240"/>
              <w:jc w:val="center"/>
              <w:rPr>
                <w:color w:val="000000"/>
                <w:szCs w:val="24"/>
              </w:rPr>
            </w:pPr>
            <w:r>
              <w:rPr>
                <w:color w:val="000000"/>
                <w:szCs w:val="24"/>
              </w:rPr>
              <w:t>56</w:t>
            </w:r>
          </w:p>
        </w:tc>
        <w:tc>
          <w:tcPr>
            <w:tcW w:w="776" w:type="pct"/>
            <w:tcBorders/>
            <w:noWrap/>
            <w:vAlign w:val="bottom"/>
            <w:hideMark/>
          </w:tcPr>
          <w:p>
            <w:pPr>
              <w:pStyle w:val="style0"/>
              <w:spacing w:lineRule="auto" w:line="240"/>
              <w:jc w:val="center"/>
              <w:rPr>
                <w:color w:val="000000"/>
                <w:szCs w:val="24"/>
              </w:rPr>
            </w:pPr>
            <w:r>
              <w:rPr>
                <w:color w:val="000000"/>
                <w:szCs w:val="24"/>
              </w:rPr>
              <w:t>40</w:t>
            </w:r>
          </w:p>
        </w:tc>
        <w:tc>
          <w:tcPr>
            <w:tcW w:w="948" w:type="pct"/>
            <w:tcBorders/>
            <w:noWrap/>
            <w:vAlign w:val="bottom"/>
            <w:hideMark/>
          </w:tcPr>
          <w:p>
            <w:pPr>
              <w:pStyle w:val="style0"/>
              <w:spacing w:lineRule="auto" w:line="240"/>
              <w:jc w:val="center"/>
              <w:rPr>
                <w:color w:val="000000"/>
                <w:szCs w:val="24"/>
              </w:rPr>
            </w:pPr>
            <w:r>
              <w:rPr>
                <w:color w:val="000000"/>
                <w:szCs w:val="24"/>
              </w:rPr>
              <w:t>16</w:t>
            </w:r>
          </w:p>
        </w:tc>
        <w:tc>
          <w:tcPr>
            <w:tcW w:w="862" w:type="pct"/>
            <w:tcBorders/>
            <w:noWrap/>
            <w:vAlign w:val="bottom"/>
            <w:hideMark/>
          </w:tcPr>
          <w:p>
            <w:pPr>
              <w:pStyle w:val="style0"/>
              <w:spacing w:lineRule="auto" w:line="240"/>
              <w:jc w:val="center"/>
              <w:rPr>
                <w:color w:val="000000"/>
                <w:szCs w:val="24"/>
              </w:rPr>
            </w:pPr>
            <w:r>
              <w:rPr>
                <w:color w:val="000000"/>
                <w:szCs w:val="24"/>
              </w:rPr>
              <w:t>71.4</w:t>
            </w:r>
          </w:p>
        </w:tc>
      </w:tr>
      <w:tr>
        <w:tblPrEx/>
        <w:trPr>
          <w:trHeight w:val="300" w:hRule="atLeast"/>
        </w:trPr>
        <w:tc>
          <w:tcPr>
            <w:tcW w:w="1396" w:type="pct"/>
            <w:tcBorders>
              <w:top w:val="nil"/>
              <w:left w:val="nil"/>
              <w:bottom w:val="single" w:sz="4" w:space="0" w:color="auto"/>
              <w:right w:val="nil"/>
            </w:tcBorders>
            <w:noWrap/>
            <w:vAlign w:val="bottom"/>
            <w:hideMark/>
          </w:tcPr>
          <w:p>
            <w:pPr>
              <w:pStyle w:val="style0"/>
              <w:spacing w:lineRule="auto" w:line="240"/>
              <w:jc w:val="left"/>
              <w:rPr>
                <w:color w:val="000000"/>
                <w:szCs w:val="24"/>
              </w:rPr>
            </w:pPr>
            <w:r>
              <w:rPr>
                <w:color w:val="000000"/>
                <w:szCs w:val="24"/>
              </w:rPr>
              <w:t>Head teachers</w:t>
            </w:r>
          </w:p>
        </w:tc>
        <w:tc>
          <w:tcPr>
            <w:tcW w:w="1018" w:type="pct"/>
            <w:tcBorders>
              <w:top w:val="nil"/>
              <w:left w:val="nil"/>
              <w:bottom w:val="single" w:sz="4" w:space="0" w:color="auto"/>
              <w:right w:val="nil"/>
            </w:tcBorders>
            <w:noWrap/>
            <w:vAlign w:val="bottom"/>
            <w:hideMark/>
          </w:tcPr>
          <w:p>
            <w:pPr>
              <w:pStyle w:val="style0"/>
              <w:spacing w:lineRule="auto" w:line="240"/>
              <w:jc w:val="center"/>
              <w:rPr>
                <w:color w:val="000000"/>
                <w:szCs w:val="24"/>
              </w:rPr>
            </w:pPr>
            <w:r>
              <w:rPr>
                <w:color w:val="000000"/>
                <w:szCs w:val="24"/>
              </w:rPr>
              <w:t>14</w:t>
            </w:r>
          </w:p>
        </w:tc>
        <w:tc>
          <w:tcPr>
            <w:tcW w:w="776" w:type="pct"/>
            <w:tcBorders>
              <w:top w:val="nil"/>
              <w:left w:val="nil"/>
              <w:bottom w:val="single" w:sz="4" w:space="0" w:color="auto"/>
              <w:right w:val="nil"/>
            </w:tcBorders>
            <w:noWrap/>
            <w:vAlign w:val="bottom"/>
            <w:hideMark/>
          </w:tcPr>
          <w:p>
            <w:pPr>
              <w:pStyle w:val="style0"/>
              <w:spacing w:lineRule="auto" w:line="240"/>
              <w:jc w:val="center"/>
              <w:rPr>
                <w:color w:val="000000"/>
                <w:szCs w:val="24"/>
              </w:rPr>
            </w:pPr>
            <w:r>
              <w:rPr>
                <w:color w:val="000000"/>
                <w:szCs w:val="24"/>
              </w:rPr>
              <w:t>12</w:t>
            </w:r>
          </w:p>
        </w:tc>
        <w:tc>
          <w:tcPr>
            <w:tcW w:w="948" w:type="pct"/>
            <w:tcBorders>
              <w:top w:val="nil"/>
              <w:left w:val="nil"/>
              <w:bottom w:val="single" w:sz="4" w:space="0" w:color="auto"/>
              <w:right w:val="nil"/>
            </w:tcBorders>
            <w:noWrap/>
            <w:vAlign w:val="bottom"/>
            <w:hideMark/>
          </w:tcPr>
          <w:p>
            <w:pPr>
              <w:pStyle w:val="style0"/>
              <w:spacing w:lineRule="auto" w:line="240"/>
              <w:jc w:val="center"/>
              <w:rPr>
                <w:color w:val="000000"/>
                <w:szCs w:val="24"/>
              </w:rPr>
            </w:pPr>
            <w:r>
              <w:rPr>
                <w:color w:val="000000"/>
                <w:szCs w:val="24"/>
              </w:rPr>
              <w:t>2</w:t>
            </w:r>
          </w:p>
        </w:tc>
        <w:tc>
          <w:tcPr>
            <w:tcW w:w="862" w:type="pct"/>
            <w:tcBorders>
              <w:top w:val="nil"/>
              <w:left w:val="nil"/>
              <w:bottom w:val="single" w:sz="4" w:space="0" w:color="auto"/>
              <w:right w:val="nil"/>
            </w:tcBorders>
            <w:noWrap/>
            <w:vAlign w:val="bottom"/>
            <w:hideMark/>
          </w:tcPr>
          <w:p>
            <w:pPr>
              <w:pStyle w:val="style0"/>
              <w:spacing w:lineRule="auto" w:line="240"/>
              <w:jc w:val="center"/>
              <w:rPr>
                <w:color w:val="000000"/>
                <w:szCs w:val="24"/>
              </w:rPr>
            </w:pPr>
            <w:r>
              <w:rPr>
                <w:color w:val="000000"/>
                <w:szCs w:val="24"/>
              </w:rPr>
              <w:t>85.7</w:t>
            </w:r>
          </w:p>
        </w:tc>
      </w:tr>
    </w:tbl>
    <w:p>
      <w:pPr>
        <w:pStyle w:val="style0"/>
        <w:rPr>
          <w:color w:val="000000"/>
          <w:sz w:val="22"/>
        </w:rPr>
      </w:pPr>
      <w:r>
        <w:rPr>
          <w:color w:val="000000"/>
          <w:sz w:val="22"/>
        </w:rPr>
        <w:t>Parent representatives= 222</w:t>
      </w:r>
      <w:r>
        <w:rPr>
          <w:color w:val="000000"/>
          <w:sz w:val="22"/>
        </w:rPr>
        <w:tab/>
      </w:r>
      <w:r>
        <w:rPr>
          <w:color w:val="000000"/>
          <w:sz w:val="22"/>
        </w:rPr>
        <w:t>Class Teachers</w:t>
      </w:r>
      <w:r>
        <w:rPr>
          <w:color w:val="000000"/>
          <w:sz w:val="22"/>
          <w:vertAlign w:val="subscript"/>
        </w:rPr>
        <w:t xml:space="preserve">= </w:t>
      </w:r>
      <w:r>
        <w:rPr>
          <w:color w:val="000000"/>
          <w:sz w:val="22"/>
        </w:rPr>
        <w:t>89        Pupils</w:t>
      </w:r>
      <w:r>
        <w:rPr>
          <w:color w:val="000000"/>
          <w:sz w:val="22"/>
          <w:vertAlign w:val="subscript"/>
        </w:rPr>
        <w:t xml:space="preserve">= </w:t>
      </w:r>
      <w:r>
        <w:rPr>
          <w:color w:val="000000"/>
          <w:sz w:val="22"/>
        </w:rPr>
        <w:t xml:space="preserve">56       </w:t>
      </w:r>
      <w:r>
        <w:rPr>
          <w:color w:val="000000"/>
          <w:szCs w:val="24"/>
        </w:rPr>
        <w:t>Head teachers</w:t>
      </w:r>
      <w:r>
        <w:rPr>
          <w:color w:val="000000"/>
          <w:sz w:val="22"/>
        </w:rPr>
        <w:t xml:space="preserve"> = 14</w:t>
      </w:r>
    </w:p>
    <w:p>
      <w:pPr>
        <w:pStyle w:val="style0"/>
        <w:rPr>
          <w:color w:val="000000"/>
          <w:szCs w:val="24"/>
        </w:rPr>
      </w:pPr>
      <w:r>
        <w:t>The response rate for parent representatives and class teachers was sufficiently good for further analysis. The response rate of above 50 percent is considered excellent</w:t>
      </w:r>
      <w:r>
        <w:rPr>
          <w:rFonts w:ascii="Arial" w:cs="Arial" w:hAnsi="Arial"/>
          <w:b/>
          <w:bCs/>
          <w:color w:val="202124"/>
          <w:shd w:val="clear" w:color="auto" w:fill="ffffff"/>
        </w:rPr>
        <w:t> </w:t>
      </w:r>
      <w:r>
        <w:t xml:space="preserve">for a descriptive study Mugenda and Mugenda (2003), Kothari (2004). </w:t>
      </w:r>
      <w:r>
        <w:rPr>
          <w:rFonts w:cs="Times New Roman" w:eastAsia="Calibri"/>
          <w:szCs w:val="24"/>
        </w:rPr>
        <w:t xml:space="preserve">Based on these recommendations, all the respondents’ response rate was very appropriate allowing results to be acceptable. </w:t>
      </w:r>
      <w:r>
        <w:t xml:space="preserve">The data collection procedures that included administering questionnaires in person and having them filled and collected immediately, pre-notification of respondents, voluntary participation and assurance of confidentiality was attributed to this high response rate. Further, out of 5 focus group discussions with </w:t>
      </w:r>
      <w:r>
        <w:t xml:space="preserve">pupils, Four Focus Group Discussion were successfully held, representing 71.4% participation rate. Twelve (12) head teachers across the targeted primary schools in </w:t>
      </w:r>
      <w:r>
        <w:rPr>
          <w:shd w:val="clear" w:color="auto" w:fill="ffffff"/>
        </w:rPr>
        <w:t xml:space="preserve">Karaba Zone participated in the interview session representing </w:t>
      </w:r>
      <w:r>
        <w:t>85.7</w:t>
      </w:r>
      <w:r>
        <w:rPr>
          <w:color w:val="000000"/>
          <w:szCs w:val="24"/>
        </w:rPr>
        <w:t>% participation rate.</w:t>
      </w:r>
    </w:p>
    <w:bookmarkStart w:id="107" w:name="_Toc144283207"/>
    <w:p>
      <w:pPr>
        <w:pStyle w:val="style2"/>
        <w:rPr/>
      </w:pPr>
      <w:r>
        <w:t xml:space="preserve">4.3 </w:t>
      </w:r>
      <w:r>
        <w:t xml:space="preserve">Reliability </w:t>
      </w:r>
      <w:r>
        <w:t>test results</w:t>
      </w:r>
      <w:bookmarkEnd w:id="107"/>
      <w:r>
        <w:t xml:space="preserve"> </w:t>
      </w:r>
    </w:p>
    <w:p>
      <w:pPr>
        <w:pStyle w:val="style0"/>
        <w:rPr>
          <w:rFonts w:cs="Times New Roman"/>
          <w:szCs w:val="24"/>
        </w:rPr>
      </w:pPr>
      <w:r>
        <w:rPr>
          <w:rFonts w:cs="Times New Roman"/>
          <w:szCs w:val="24"/>
        </w:rPr>
        <w:t xml:space="preserve">The researcher calculated the Cronbach alpha coefficient to examine the reliability of the research instruments. The reliability was calculated using Cronbach’s alpha formula and results were generated with the aid of SPSS. The results are illustrated in Table </w:t>
      </w:r>
      <w:r>
        <w:rPr>
          <w:rFonts w:cs="Times New Roman"/>
          <w:szCs w:val="24"/>
        </w:rPr>
        <w:t>4.2</w:t>
      </w:r>
      <w:r>
        <w:rPr>
          <w:rFonts w:cs="Times New Roman"/>
          <w:szCs w:val="24"/>
        </w:rPr>
        <w:t>.</w:t>
      </w:r>
    </w:p>
    <w:bookmarkStart w:id="108" w:name="_Toc36033233"/>
    <w:bookmarkStart w:id="109" w:name="_Toc38291011"/>
    <w:bookmarkStart w:id="110" w:name="_Toc78480818"/>
    <w:bookmarkStart w:id="111" w:name="_Toc81849064"/>
    <w:bookmarkStart w:id="112" w:name="_Toc81849886"/>
    <w:bookmarkStart w:id="113" w:name="_Toc143261445"/>
    <w:bookmarkStart w:id="114" w:name="_Toc144196178"/>
    <w:bookmarkStart w:id="115" w:name="_Toc13771103"/>
    <w:bookmarkStart w:id="116" w:name="_Toc24445453"/>
    <w:bookmarkStart w:id="117" w:name="_Toc34938141"/>
    <w:bookmarkStart w:id="118" w:name="_Toc34938180"/>
    <w:p>
      <w:pPr>
        <w:pStyle w:val="style4"/>
        <w:spacing w:before="120" w:after="120"/>
        <w:rPr>
          <w:rFonts w:cs="Times New Roman"/>
          <w:szCs w:val="24"/>
        </w:rPr>
      </w:pPr>
      <w:r>
        <w:rPr>
          <w:rFonts w:cs="Times New Roman"/>
          <w:szCs w:val="24"/>
        </w:rPr>
        <w:t xml:space="preserve">Table </w:t>
      </w:r>
      <w:r>
        <w:rPr>
          <w:rFonts w:cs="Times New Roman"/>
          <w:szCs w:val="24"/>
        </w:rPr>
        <w:t>4.2</w:t>
      </w:r>
      <w:r>
        <w:rPr>
          <w:rFonts w:cs="Times New Roman"/>
          <w:szCs w:val="24"/>
        </w:rPr>
        <w:t>: Reliability Results</w:t>
      </w:r>
      <w:bookmarkEnd w:id="108"/>
      <w:bookmarkEnd w:id="109"/>
      <w:bookmarkEnd w:id="110"/>
      <w:bookmarkEnd w:id="111"/>
      <w:bookmarkEnd w:id="112"/>
      <w:bookmarkEnd w:id="113"/>
      <w:bookmarkEnd w:id="114"/>
    </w:p>
    <w:tbl>
      <w:tblPr>
        <w:tblW w:w="5000" w:type="pct"/>
        <w:tblLook w:val="04A0" w:firstRow="1" w:lastRow="0" w:firstColumn="1" w:lastColumn="0" w:noHBand="0" w:noVBand="1"/>
      </w:tblPr>
      <w:tblGrid>
        <w:gridCol w:w="4968"/>
        <w:gridCol w:w="1930"/>
        <w:gridCol w:w="1323"/>
      </w:tblGrid>
      <w:tr>
        <w:trPr>
          <w:trHeight w:val="290" w:hRule="atLeast"/>
        </w:trPr>
        <w:tc>
          <w:tcPr>
            <w:tcW w:w="3131" w:type="pct"/>
            <w:tcBorders>
              <w:top w:val="single" w:sz="4" w:space="0" w:color="auto"/>
              <w:left w:val="nil"/>
              <w:bottom w:val="single" w:sz="4" w:space="0" w:color="auto"/>
              <w:right w:val="nil"/>
            </w:tcBorders>
            <w:shd w:val="clear" w:color="auto" w:fill="auto"/>
            <w:noWrap/>
            <w:vAlign w:val="bottom"/>
            <w:hideMark/>
          </w:tcPr>
          <w:p>
            <w:pPr>
              <w:pStyle w:val="style0"/>
              <w:spacing w:before="0" w:lineRule="auto" w:line="240"/>
              <w:jc w:val="left"/>
              <w:rPr>
                <w:rFonts w:cs="Times New Roman"/>
                <w:b/>
                <w:bCs/>
                <w:szCs w:val="24"/>
              </w:rPr>
            </w:pPr>
            <w:r>
              <w:rPr>
                <w:rFonts w:cs="Times New Roman"/>
                <w:b/>
                <w:bCs/>
                <w:szCs w:val="24"/>
              </w:rPr>
              <w:t>Variable</w:t>
            </w:r>
          </w:p>
        </w:tc>
        <w:tc>
          <w:tcPr>
            <w:tcW w:w="1069" w:type="pct"/>
            <w:tcBorders>
              <w:top w:val="single" w:sz="4" w:space="0" w:color="auto"/>
              <w:left w:val="nil"/>
              <w:bottom w:val="single" w:sz="4" w:space="0" w:color="auto"/>
              <w:right w:val="nil"/>
            </w:tcBorders>
            <w:shd w:val="clear" w:color="auto" w:fill="auto"/>
            <w:noWrap/>
            <w:vAlign w:val="bottom"/>
            <w:hideMark/>
          </w:tcPr>
          <w:p>
            <w:pPr>
              <w:pStyle w:val="style0"/>
              <w:spacing w:before="0" w:lineRule="auto" w:line="240"/>
              <w:jc w:val="center"/>
              <w:rPr>
                <w:rFonts w:cs="Times New Roman"/>
                <w:b/>
                <w:bCs/>
                <w:szCs w:val="24"/>
              </w:rPr>
            </w:pPr>
            <w:r>
              <w:rPr>
                <w:rFonts w:cs="Times New Roman"/>
                <w:b/>
                <w:bCs/>
                <w:szCs w:val="24"/>
              </w:rPr>
              <w:t>Cronbach Alpha</w:t>
            </w:r>
          </w:p>
        </w:tc>
        <w:tc>
          <w:tcPr>
            <w:tcW w:w="800" w:type="pct"/>
            <w:tcBorders>
              <w:top w:val="single" w:sz="4" w:space="0" w:color="auto"/>
              <w:left w:val="nil"/>
              <w:bottom w:val="single" w:sz="4" w:space="0" w:color="auto"/>
              <w:right w:val="nil"/>
            </w:tcBorders>
            <w:shd w:val="clear" w:color="auto" w:fill="auto"/>
            <w:noWrap/>
            <w:vAlign w:val="bottom"/>
            <w:hideMark/>
          </w:tcPr>
          <w:p>
            <w:pPr>
              <w:pStyle w:val="style0"/>
              <w:spacing w:before="0" w:lineRule="auto" w:line="240"/>
              <w:jc w:val="center"/>
              <w:rPr>
                <w:rFonts w:cs="Times New Roman"/>
                <w:b/>
                <w:bCs/>
                <w:szCs w:val="24"/>
              </w:rPr>
            </w:pPr>
            <w:r>
              <w:rPr>
                <w:rFonts w:cs="Times New Roman"/>
                <w:b/>
                <w:bCs/>
                <w:szCs w:val="24"/>
              </w:rPr>
              <w:t>Comments</w:t>
            </w:r>
          </w:p>
        </w:tc>
      </w:tr>
      <w:tr>
        <w:tblPrEx/>
        <w:trPr>
          <w:trHeight w:val="290" w:hRule="atLeast"/>
        </w:trPr>
        <w:tc>
          <w:tcPr>
            <w:tcW w:w="3131" w:type="pct"/>
            <w:tcBorders>
              <w:top w:val="nil"/>
              <w:left w:val="nil"/>
              <w:bottom w:val="nil"/>
              <w:right w:val="nil"/>
            </w:tcBorders>
            <w:shd w:val="clear" w:color="auto" w:fill="auto"/>
            <w:noWrap/>
            <w:hideMark/>
          </w:tcPr>
          <w:p>
            <w:pPr>
              <w:pStyle w:val="style0"/>
              <w:spacing w:before="0" w:lineRule="auto" w:line="240"/>
              <w:jc w:val="left"/>
              <w:rPr>
                <w:rFonts w:cs="Times New Roman"/>
                <w:szCs w:val="24"/>
              </w:rPr>
            </w:pPr>
            <w:r>
              <w:t xml:space="preserve">Household income </w:t>
            </w:r>
          </w:p>
        </w:tc>
        <w:tc>
          <w:tcPr>
            <w:tcW w:w="1069" w:type="pct"/>
            <w:tcBorders>
              <w:top w:val="nil"/>
              <w:left w:val="nil"/>
              <w:bottom w:val="nil"/>
              <w:right w:val="nil"/>
            </w:tcBorders>
            <w:shd w:val="clear" w:color="auto" w:fill="auto"/>
            <w:noWrap/>
            <w:vAlign w:val="bottom"/>
            <w:hideMark/>
          </w:tcPr>
          <w:p>
            <w:pPr>
              <w:pStyle w:val="style0"/>
              <w:spacing w:before="0" w:lineRule="auto" w:line="240"/>
              <w:jc w:val="center"/>
              <w:rPr>
                <w:rFonts w:cs="Times New Roman"/>
                <w:szCs w:val="24"/>
              </w:rPr>
            </w:pPr>
            <w:r>
              <w:rPr>
                <w:rFonts w:cs="Times New Roman"/>
                <w:szCs w:val="24"/>
              </w:rPr>
              <w:t>0.889</w:t>
            </w:r>
          </w:p>
        </w:tc>
        <w:tc>
          <w:tcPr>
            <w:tcW w:w="800" w:type="pct"/>
            <w:tcBorders>
              <w:top w:val="nil"/>
              <w:left w:val="nil"/>
              <w:bottom w:val="nil"/>
              <w:right w:val="nil"/>
            </w:tcBorders>
            <w:shd w:val="clear" w:color="auto" w:fill="auto"/>
            <w:noWrap/>
            <w:vAlign w:val="bottom"/>
            <w:hideMark/>
          </w:tcPr>
          <w:p>
            <w:pPr>
              <w:pStyle w:val="style0"/>
              <w:spacing w:before="0" w:lineRule="auto" w:line="240"/>
              <w:jc w:val="center"/>
              <w:rPr>
                <w:rFonts w:cs="Times New Roman"/>
                <w:szCs w:val="24"/>
              </w:rPr>
            </w:pPr>
            <w:r>
              <w:rPr>
                <w:rFonts w:cs="Times New Roman"/>
                <w:szCs w:val="24"/>
              </w:rPr>
              <w:t xml:space="preserve">Reliable </w:t>
            </w:r>
          </w:p>
        </w:tc>
      </w:tr>
      <w:tr>
        <w:tblPrEx/>
        <w:trPr>
          <w:trHeight w:val="290" w:hRule="atLeast"/>
        </w:trPr>
        <w:tc>
          <w:tcPr>
            <w:tcW w:w="3131" w:type="pct"/>
            <w:tcBorders>
              <w:top w:val="nil"/>
              <w:left w:val="nil"/>
              <w:bottom w:val="nil"/>
              <w:right w:val="nil"/>
            </w:tcBorders>
            <w:shd w:val="clear" w:color="auto" w:fill="auto"/>
            <w:noWrap/>
            <w:hideMark/>
          </w:tcPr>
          <w:p>
            <w:pPr>
              <w:pStyle w:val="style0"/>
              <w:spacing w:before="0" w:lineRule="auto" w:line="240"/>
              <w:jc w:val="left"/>
              <w:rPr>
                <w:rFonts w:cs="Times New Roman"/>
                <w:szCs w:val="24"/>
              </w:rPr>
            </w:pPr>
            <w:r>
              <w:t>Family size</w:t>
            </w:r>
          </w:p>
        </w:tc>
        <w:tc>
          <w:tcPr>
            <w:tcW w:w="1069" w:type="pct"/>
            <w:tcBorders>
              <w:top w:val="nil"/>
              <w:left w:val="nil"/>
              <w:bottom w:val="nil"/>
              <w:right w:val="nil"/>
            </w:tcBorders>
            <w:shd w:val="clear" w:color="auto" w:fill="auto"/>
            <w:noWrap/>
            <w:vAlign w:val="bottom"/>
            <w:hideMark/>
          </w:tcPr>
          <w:p>
            <w:pPr>
              <w:pStyle w:val="style0"/>
              <w:spacing w:before="0" w:lineRule="auto" w:line="240"/>
              <w:jc w:val="center"/>
              <w:rPr>
                <w:rFonts w:cs="Times New Roman"/>
                <w:szCs w:val="24"/>
              </w:rPr>
            </w:pPr>
            <w:r>
              <w:rPr>
                <w:rFonts w:cs="Times New Roman"/>
                <w:szCs w:val="24"/>
              </w:rPr>
              <w:t>0.876</w:t>
            </w:r>
          </w:p>
        </w:tc>
        <w:tc>
          <w:tcPr>
            <w:tcW w:w="800" w:type="pct"/>
            <w:tcBorders>
              <w:top w:val="nil"/>
              <w:left w:val="nil"/>
              <w:bottom w:val="nil"/>
              <w:right w:val="nil"/>
            </w:tcBorders>
            <w:shd w:val="clear" w:color="auto" w:fill="auto"/>
            <w:noWrap/>
            <w:vAlign w:val="bottom"/>
            <w:hideMark/>
          </w:tcPr>
          <w:p>
            <w:pPr>
              <w:pStyle w:val="style0"/>
              <w:spacing w:before="0" w:lineRule="auto" w:line="240"/>
              <w:jc w:val="center"/>
              <w:rPr>
                <w:rFonts w:cs="Times New Roman"/>
                <w:szCs w:val="24"/>
              </w:rPr>
            </w:pPr>
            <w:r>
              <w:rPr>
                <w:rFonts w:cs="Times New Roman"/>
                <w:szCs w:val="24"/>
              </w:rPr>
              <w:t>Reliable</w:t>
            </w:r>
          </w:p>
        </w:tc>
      </w:tr>
      <w:tr>
        <w:tblPrEx/>
        <w:trPr>
          <w:trHeight w:val="290" w:hRule="atLeast"/>
        </w:trPr>
        <w:tc>
          <w:tcPr>
            <w:tcW w:w="3131" w:type="pct"/>
            <w:tcBorders>
              <w:top w:val="nil"/>
              <w:left w:val="nil"/>
              <w:right w:val="nil"/>
            </w:tcBorders>
            <w:shd w:val="clear" w:color="auto" w:fill="auto"/>
            <w:noWrap/>
            <w:hideMark/>
          </w:tcPr>
          <w:p>
            <w:pPr>
              <w:pStyle w:val="style0"/>
              <w:spacing w:before="0" w:lineRule="auto" w:line="240"/>
              <w:jc w:val="left"/>
              <w:rPr>
                <w:rFonts w:cs="Times New Roman"/>
                <w:szCs w:val="24"/>
              </w:rPr>
            </w:pPr>
            <w:r>
              <w:rPr>
                <w:rFonts w:cs="Times New Roman"/>
                <w:szCs w:val="24"/>
              </w:rPr>
              <w:t>Parents’ level of education</w:t>
            </w:r>
          </w:p>
        </w:tc>
        <w:tc>
          <w:tcPr>
            <w:tcW w:w="1069" w:type="pct"/>
            <w:tcBorders>
              <w:top w:val="nil"/>
              <w:left w:val="nil"/>
              <w:right w:val="nil"/>
            </w:tcBorders>
            <w:shd w:val="clear" w:color="auto" w:fill="auto"/>
            <w:noWrap/>
            <w:vAlign w:val="bottom"/>
            <w:hideMark/>
          </w:tcPr>
          <w:p>
            <w:pPr>
              <w:pStyle w:val="style0"/>
              <w:spacing w:before="0" w:lineRule="auto" w:line="240"/>
              <w:jc w:val="center"/>
              <w:rPr>
                <w:rFonts w:cs="Times New Roman"/>
                <w:szCs w:val="24"/>
              </w:rPr>
            </w:pPr>
            <w:r>
              <w:rPr>
                <w:rFonts w:cs="Times New Roman"/>
                <w:szCs w:val="24"/>
              </w:rPr>
              <w:t>0.926</w:t>
            </w:r>
          </w:p>
        </w:tc>
        <w:tc>
          <w:tcPr>
            <w:tcW w:w="800" w:type="pct"/>
            <w:tcBorders>
              <w:top w:val="nil"/>
              <w:left w:val="nil"/>
              <w:right w:val="nil"/>
            </w:tcBorders>
            <w:shd w:val="clear" w:color="auto" w:fill="auto"/>
            <w:noWrap/>
            <w:vAlign w:val="bottom"/>
            <w:hideMark/>
          </w:tcPr>
          <w:p>
            <w:pPr>
              <w:pStyle w:val="style0"/>
              <w:spacing w:before="0" w:lineRule="auto" w:line="240"/>
              <w:jc w:val="center"/>
              <w:rPr>
                <w:rFonts w:cs="Times New Roman"/>
                <w:szCs w:val="24"/>
              </w:rPr>
            </w:pPr>
            <w:r>
              <w:rPr>
                <w:rFonts w:cs="Times New Roman"/>
                <w:szCs w:val="24"/>
              </w:rPr>
              <w:t>Reliable</w:t>
            </w:r>
          </w:p>
        </w:tc>
      </w:tr>
      <w:tr>
        <w:tblPrEx/>
        <w:trPr>
          <w:trHeight w:val="290" w:hRule="atLeast"/>
        </w:trPr>
        <w:tc>
          <w:tcPr>
            <w:tcW w:w="3131" w:type="pct"/>
            <w:tcBorders>
              <w:top w:val="nil"/>
              <w:left w:val="nil"/>
              <w:bottom w:val="single" w:sz="4" w:space="0" w:color="auto"/>
              <w:right w:val="nil"/>
            </w:tcBorders>
            <w:shd w:val="clear" w:color="auto" w:fill="auto"/>
            <w:noWrap/>
            <w:hideMark/>
          </w:tcPr>
          <w:p>
            <w:pPr>
              <w:pStyle w:val="style0"/>
              <w:spacing w:before="0" w:lineRule="auto" w:line="240"/>
              <w:jc w:val="left"/>
              <w:rPr>
                <w:rFonts w:cs="Times New Roman"/>
                <w:szCs w:val="24"/>
              </w:rPr>
            </w:pPr>
            <w:r>
              <w:t>Pupils’ academic achievement</w:t>
            </w:r>
          </w:p>
        </w:tc>
        <w:tc>
          <w:tcPr>
            <w:tcW w:w="1069" w:type="pct"/>
            <w:tcBorders>
              <w:top w:val="nil"/>
              <w:left w:val="nil"/>
              <w:bottom w:val="single" w:sz="4" w:space="0" w:color="auto"/>
              <w:right w:val="nil"/>
            </w:tcBorders>
            <w:shd w:val="clear" w:color="auto" w:fill="auto"/>
            <w:noWrap/>
            <w:vAlign w:val="bottom"/>
            <w:hideMark/>
          </w:tcPr>
          <w:p>
            <w:pPr>
              <w:pStyle w:val="style0"/>
              <w:spacing w:before="0" w:lineRule="auto" w:line="240"/>
              <w:jc w:val="center"/>
              <w:rPr>
                <w:rFonts w:cs="Times New Roman"/>
                <w:szCs w:val="24"/>
              </w:rPr>
            </w:pPr>
            <w:r>
              <w:rPr>
                <w:rFonts w:cs="Times New Roman"/>
                <w:szCs w:val="24"/>
              </w:rPr>
              <w:t>0.861</w:t>
            </w:r>
          </w:p>
        </w:tc>
        <w:tc>
          <w:tcPr>
            <w:tcW w:w="800" w:type="pct"/>
            <w:tcBorders>
              <w:top w:val="nil"/>
              <w:left w:val="nil"/>
              <w:bottom w:val="single" w:sz="4" w:space="0" w:color="auto"/>
              <w:right w:val="nil"/>
            </w:tcBorders>
            <w:shd w:val="clear" w:color="auto" w:fill="auto"/>
            <w:noWrap/>
            <w:vAlign w:val="bottom"/>
            <w:hideMark/>
          </w:tcPr>
          <w:p>
            <w:pPr>
              <w:pStyle w:val="style0"/>
              <w:spacing w:before="0" w:lineRule="auto" w:line="240"/>
              <w:rPr>
                <w:rFonts w:cs="Times New Roman"/>
                <w:szCs w:val="24"/>
              </w:rPr>
            </w:pPr>
            <w:r>
              <w:rPr>
                <w:rFonts w:cs="Times New Roman"/>
                <w:szCs w:val="24"/>
              </w:rPr>
              <w:t>Reliable</w:t>
            </w:r>
          </w:p>
        </w:tc>
      </w:tr>
      <w:bookmarkEnd w:id="115"/>
      <w:bookmarkEnd w:id="116"/>
      <w:bookmarkEnd w:id="117"/>
      <w:bookmarkEnd w:id="118"/>
    </w:tbl>
    <w:p>
      <w:pPr>
        <w:pStyle w:val="style0"/>
        <w:rPr/>
      </w:pPr>
      <w:r>
        <w:t xml:space="preserve">Cronbach's alpha coefficients for household income, family size, parents' level of education, and pupils' academic achievement were all greater than 0.7, according to the findings in Table </w:t>
      </w:r>
      <w:r>
        <w:t>4.2</w:t>
      </w:r>
      <w:r>
        <w:t xml:space="preserve">. As a result, the variables were trustworthy. According to Taber (2018), the Cronbach's alpha values of the items included in the study should not be less than 0.7. Cronbach alpha should not be less than 0.7, according to </w:t>
      </w:r>
      <w:r>
        <w:t>Golafshani</w:t>
      </w:r>
      <w:r>
        <w:t xml:space="preserve"> (2003), while Gliem and Gliem (2003) recommend that it be greater than 0.7. As a result, the study's variables are considered reliable. Cronbach's alpha coefficients of above 0.7 were found for household income, family size, parents' level of education, and students' academic achievement, indicating that they are reliable.</w:t>
      </w:r>
    </w:p>
    <w:bookmarkStart w:id="119" w:name="_Toc447883382"/>
    <w:bookmarkStart w:id="120" w:name="_Toc446511491"/>
    <w:bookmarkStart w:id="121" w:name="_Toc436763404"/>
    <w:bookmarkStart w:id="122" w:name="_Toc467588527"/>
    <w:bookmarkStart w:id="123" w:name="_Toc459133110"/>
    <w:bookmarkStart w:id="124" w:name="_Toc458092218"/>
    <w:bookmarkStart w:id="125" w:name="_Toc458092060"/>
    <w:bookmarkStart w:id="126" w:name="_Toc458091610"/>
    <w:bookmarkStart w:id="127" w:name="_Toc45891308"/>
    <w:bookmarkStart w:id="128" w:name="_Toc26971018"/>
    <w:bookmarkStart w:id="129" w:name="_Toc144283208"/>
    <w:p>
      <w:pPr>
        <w:pStyle w:val="style2"/>
        <w:rPr/>
      </w:pPr>
      <w:r>
        <w:rPr>
          <w:szCs w:val="24"/>
        </w:rPr>
        <w:t>4.</w:t>
      </w:r>
      <w:bookmarkEnd w:id="119"/>
      <w:bookmarkEnd w:id="120"/>
      <w:bookmarkEnd w:id="121"/>
      <w:r>
        <w:rPr>
          <w:szCs w:val="24"/>
        </w:rPr>
        <w:t>4</w:t>
      </w:r>
      <w:r>
        <w:rPr>
          <w:szCs w:val="24"/>
        </w:rPr>
        <w:t xml:space="preserve"> </w:t>
      </w:r>
      <w:r>
        <w:rPr>
          <w:szCs w:val="24"/>
        </w:rPr>
        <w:t>D</w:t>
      </w:r>
      <w:r>
        <w:t xml:space="preserve">emographic </w:t>
      </w:r>
      <w:bookmarkEnd w:id="122"/>
      <w:bookmarkEnd w:id="123"/>
      <w:bookmarkEnd w:id="124"/>
      <w:bookmarkEnd w:id="125"/>
      <w:bookmarkEnd w:id="126"/>
      <w:r>
        <w:t>data</w:t>
      </w:r>
      <w:bookmarkEnd w:id="127"/>
      <w:bookmarkEnd w:id="128"/>
      <w:bookmarkEnd w:id="129"/>
    </w:p>
    <w:p>
      <w:pPr>
        <w:pStyle w:val="style0"/>
        <w:rPr/>
      </w:pPr>
      <w:r>
        <w:t>Demographic data in this study included gender, age, participants' level of education, roles, household size, parents' monthly income, and teachers' years of experience. The inclusion of demographic information in the study was motivated by the fundamental need to investigate potential links between respondents' demographic characteristics and primary school students' academic achievement. Demographic variables are critical in comprehending the context in which the research findings are situated.</w:t>
      </w:r>
    </w:p>
    <w:p>
      <w:pPr>
        <w:pStyle w:val="style0"/>
        <w:rPr/>
      </w:pPr>
      <w:r>
        <w:t xml:space="preserve"> Gender, age, educational background, roles, household dynamics, economic factors such as parents' income, and teachers' experience all contribute to the context against which academic achievement can be measured. These variables enable a more nuanced examination of potential relationships between respondents' characteristics and </w:t>
      </w:r>
      <w:r>
        <w:t>academic achievement</w:t>
      </w:r>
      <w:r>
        <w:t xml:space="preserve">. Gender and age, for example, may influence learning styles, household size may influence available study environments, parental income may influence access to educational resources, and teachers' experience may influence teaching effectiveness. </w:t>
      </w:r>
    </w:p>
    <w:p>
      <w:pPr>
        <w:pStyle w:val="style0"/>
        <w:rPr/>
      </w:pPr>
      <w:r>
        <w:t>The study aimed to shed light on the multifaceted factors that could potentially contribute to pupils' academic achievement disparities by incorporating demographic data. Understanding these relationships is critical for developing targeted interventions and policy recommendations to close achievement gaps and promote equitable educational outcomes. As a result, demographic data is not only relevant but also necessary for providing a comprehensive understanding of the research context and outcomes.</w:t>
      </w:r>
    </w:p>
    <w:bookmarkStart w:id="130" w:name="_Toc467588528"/>
    <w:p>
      <w:pPr>
        <w:pStyle w:val="style0"/>
        <w:rPr>
          <w:b/>
        </w:rPr>
      </w:pPr>
      <w:r>
        <w:rPr>
          <w:b/>
        </w:rPr>
        <w:t>Distribution of respondents by gender</w:t>
      </w:r>
      <w:bookmarkEnd w:id="130"/>
    </w:p>
    <w:p>
      <w:pPr>
        <w:pStyle w:val="style0"/>
        <w:rPr/>
      </w:pPr>
      <w:r>
        <w:rPr>
          <w:szCs w:val="24"/>
        </w:rPr>
        <w:t>The study sought to measure any significant relationship between the gender composition of respondents and pupils’ academic achievement in primary schools. The gender of respondents is as presented in Table 4.</w:t>
      </w:r>
      <w:r>
        <w:rPr>
          <w:szCs w:val="24"/>
        </w:rPr>
        <w:t>3</w:t>
      </w:r>
      <w:r>
        <w:rPr>
          <w:szCs w:val="24"/>
        </w:rPr>
        <w:t>.</w:t>
      </w:r>
    </w:p>
    <w:bookmarkStart w:id="131" w:name="_Toc26870056"/>
    <w:bookmarkStart w:id="132" w:name="_Toc464283555"/>
    <w:bookmarkStart w:id="133" w:name="_Toc459133213"/>
    <w:bookmarkStart w:id="134" w:name="_Toc144196179"/>
    <w:p>
      <w:pPr>
        <w:pStyle w:val="style4"/>
        <w:spacing w:before="120" w:after="120"/>
        <w:rPr/>
      </w:pPr>
      <w:r>
        <w:t>Table 4.</w:t>
      </w:r>
      <w:r>
        <w:t>3</w:t>
      </w:r>
      <w:r>
        <w:t>: Distribution of respondents by gender</w:t>
      </w:r>
      <w:bookmarkEnd w:id="131"/>
      <w:bookmarkEnd w:id="132"/>
      <w:bookmarkEnd w:id="133"/>
      <w:bookmarkEnd w:id="134"/>
    </w:p>
    <w:tbl>
      <w:tblPr>
        <w:tblW w:w="5000" w:type="pct"/>
        <w:tblLook w:val="04A0" w:firstRow="1" w:lastRow="0" w:firstColumn="1" w:lastColumn="0" w:noHBand="0" w:noVBand="1"/>
      </w:tblPr>
      <w:tblGrid>
        <w:gridCol w:w="3222"/>
        <w:gridCol w:w="1362"/>
        <w:gridCol w:w="1462"/>
        <w:gridCol w:w="713"/>
        <w:gridCol w:w="1462"/>
      </w:tblGrid>
      <w:tr>
        <w:trPr>
          <w:trHeight w:val="17" w:hRule="atLeast"/>
        </w:trPr>
        <w:tc>
          <w:tcPr>
            <w:tcW w:w="1534" w:type="pct"/>
            <w:tcBorders>
              <w:top w:val="single" w:sz="4" w:space="0" w:color="auto"/>
              <w:left w:val="nil"/>
              <w:bottom w:val="nil"/>
              <w:right w:val="nil"/>
            </w:tcBorders>
            <w:noWrap/>
            <w:vAlign w:val="bottom"/>
            <w:hideMark/>
          </w:tcPr>
          <w:p>
            <w:pPr>
              <w:pStyle w:val="style0"/>
              <w:spacing w:lineRule="auto" w:line="240"/>
              <w:jc w:val="left"/>
              <w:rPr>
                <w:rFonts w:eastAsia="Times New Roman"/>
                <w:b/>
                <w:bCs/>
                <w:color w:val="000000"/>
                <w:szCs w:val="24"/>
              </w:rPr>
            </w:pPr>
            <w:r>
              <w:rPr>
                <w:rFonts w:eastAsia="Times New Roman"/>
                <w:b/>
                <w:bCs/>
                <w:color w:val="000000"/>
                <w:szCs w:val="24"/>
              </w:rPr>
              <w:t>Demographic Characteristics</w:t>
            </w:r>
          </w:p>
        </w:tc>
        <w:tc>
          <w:tcPr>
            <w:tcW w:w="1882" w:type="pct"/>
            <w:gridSpan w:val="2"/>
            <w:tcBorders>
              <w:top w:val="single" w:sz="4" w:space="0" w:color="auto"/>
              <w:left w:val="nil"/>
              <w:bottom w:val="nil"/>
              <w:right w:val="nil"/>
            </w:tcBorders>
            <w:noWrap/>
            <w:vAlign w:val="bottom"/>
            <w:hideMark/>
          </w:tcPr>
          <w:p>
            <w:pPr>
              <w:pStyle w:val="style0"/>
              <w:spacing w:lineRule="auto" w:line="240"/>
              <w:jc w:val="center"/>
              <w:rPr>
                <w:rFonts w:eastAsia="Times New Roman"/>
                <w:b/>
                <w:bCs/>
                <w:color w:val="000000"/>
                <w:szCs w:val="24"/>
              </w:rPr>
            </w:pPr>
            <w:r>
              <w:rPr>
                <w:rFonts w:eastAsia="Times New Roman"/>
                <w:b/>
                <w:bCs/>
                <w:color w:val="000000"/>
                <w:szCs w:val="24"/>
              </w:rPr>
              <w:t>Parent representatives</w:t>
            </w:r>
          </w:p>
        </w:tc>
        <w:tc>
          <w:tcPr>
            <w:tcW w:w="1584" w:type="pct"/>
            <w:gridSpan w:val="2"/>
            <w:tcBorders>
              <w:top w:val="single" w:sz="4" w:space="0" w:color="auto"/>
              <w:left w:val="nil"/>
              <w:bottom w:val="nil"/>
              <w:right w:val="nil"/>
            </w:tcBorders>
            <w:noWrap/>
            <w:vAlign w:val="bottom"/>
            <w:hideMark/>
          </w:tcPr>
          <w:p>
            <w:pPr>
              <w:pStyle w:val="style0"/>
              <w:spacing w:lineRule="auto" w:line="240"/>
              <w:jc w:val="center"/>
              <w:rPr>
                <w:rFonts w:eastAsia="Times New Roman"/>
                <w:b/>
                <w:bCs/>
                <w:color w:val="000000"/>
                <w:szCs w:val="24"/>
              </w:rPr>
            </w:pPr>
            <w:r>
              <w:rPr>
                <w:rFonts w:eastAsia="Times New Roman"/>
                <w:b/>
                <w:bCs/>
                <w:color w:val="000000"/>
                <w:szCs w:val="24"/>
              </w:rPr>
              <w:t>Class teachers</w:t>
            </w:r>
          </w:p>
        </w:tc>
      </w:tr>
      <w:tr>
        <w:tblPrEx/>
        <w:trPr>
          <w:trHeight w:val="17" w:hRule="atLeast"/>
        </w:trPr>
        <w:tc>
          <w:tcPr>
            <w:tcW w:w="1534" w:type="pct"/>
            <w:tcBorders>
              <w:top w:val="nil"/>
              <w:left w:val="nil"/>
              <w:bottom w:val="single" w:sz="4" w:space="0" w:color="auto"/>
              <w:right w:val="nil"/>
            </w:tcBorders>
            <w:noWrap/>
            <w:vAlign w:val="bottom"/>
            <w:hideMark/>
          </w:tcPr>
          <w:p>
            <w:pPr>
              <w:pStyle w:val="style0"/>
              <w:spacing w:lineRule="auto" w:line="240"/>
              <w:jc w:val="left"/>
              <w:rPr>
                <w:rFonts w:eastAsia="Times New Roman"/>
                <w:b/>
                <w:bCs/>
                <w:color w:val="000000"/>
                <w:szCs w:val="24"/>
              </w:rPr>
            </w:pPr>
            <w:r>
              <w:rPr>
                <w:rFonts w:eastAsia="Times New Roman"/>
                <w:b/>
                <w:bCs/>
                <w:color w:val="000000"/>
                <w:szCs w:val="24"/>
              </w:rPr>
              <w:t> </w:t>
            </w:r>
          </w:p>
        </w:tc>
        <w:tc>
          <w:tcPr>
            <w:tcW w:w="1013" w:type="pct"/>
            <w:tcBorders>
              <w:top w:val="nil"/>
              <w:left w:val="nil"/>
              <w:bottom w:val="single" w:sz="4" w:space="0" w:color="auto"/>
              <w:right w:val="nil"/>
            </w:tcBorders>
            <w:noWrap/>
            <w:vAlign w:val="bottom"/>
            <w:hideMark/>
          </w:tcPr>
          <w:p>
            <w:pPr>
              <w:pStyle w:val="style0"/>
              <w:spacing w:lineRule="auto" w:line="240"/>
              <w:jc w:val="center"/>
              <w:rPr>
                <w:rFonts w:eastAsia="Times New Roman"/>
                <w:b/>
                <w:bCs/>
                <w:color w:val="000000"/>
                <w:szCs w:val="24"/>
              </w:rPr>
            </w:pPr>
            <w:r>
              <w:rPr>
                <w:rFonts w:eastAsia="Times New Roman"/>
                <w:b/>
                <w:bCs/>
                <w:color w:val="000000"/>
                <w:szCs w:val="24"/>
              </w:rPr>
              <w:t>f</w:t>
            </w:r>
          </w:p>
        </w:tc>
        <w:tc>
          <w:tcPr>
            <w:tcW w:w="869" w:type="pct"/>
            <w:tcBorders>
              <w:top w:val="nil"/>
              <w:left w:val="nil"/>
              <w:bottom w:val="single" w:sz="4" w:space="0" w:color="auto"/>
              <w:right w:val="nil"/>
            </w:tcBorders>
            <w:noWrap/>
            <w:vAlign w:val="bottom"/>
            <w:hideMark/>
          </w:tcPr>
          <w:p>
            <w:pPr>
              <w:pStyle w:val="style0"/>
              <w:spacing w:lineRule="auto" w:line="240"/>
              <w:jc w:val="center"/>
              <w:rPr>
                <w:rFonts w:eastAsia="Times New Roman"/>
                <w:b/>
                <w:bCs/>
                <w:color w:val="000000"/>
                <w:szCs w:val="24"/>
              </w:rPr>
            </w:pPr>
            <w:r>
              <w:rPr>
                <w:rFonts w:eastAsia="Times New Roman"/>
                <w:b/>
                <w:bCs/>
                <w:color w:val="000000"/>
                <w:szCs w:val="24"/>
              </w:rPr>
              <w:t>Percent (%)</w:t>
            </w:r>
          </w:p>
        </w:tc>
        <w:tc>
          <w:tcPr>
            <w:tcW w:w="717" w:type="pct"/>
            <w:tcBorders>
              <w:top w:val="nil"/>
              <w:left w:val="nil"/>
              <w:bottom w:val="single" w:sz="4" w:space="0" w:color="auto"/>
              <w:right w:val="nil"/>
            </w:tcBorders>
            <w:noWrap/>
            <w:vAlign w:val="bottom"/>
            <w:hideMark/>
          </w:tcPr>
          <w:p>
            <w:pPr>
              <w:pStyle w:val="style0"/>
              <w:spacing w:lineRule="auto" w:line="240"/>
              <w:jc w:val="center"/>
              <w:rPr>
                <w:rFonts w:eastAsia="Times New Roman"/>
                <w:b/>
                <w:bCs/>
                <w:color w:val="000000"/>
                <w:szCs w:val="24"/>
              </w:rPr>
            </w:pPr>
            <w:r>
              <w:rPr>
                <w:rFonts w:eastAsia="Times New Roman"/>
                <w:b/>
                <w:bCs/>
                <w:color w:val="000000"/>
                <w:szCs w:val="24"/>
              </w:rPr>
              <w:t>f</w:t>
            </w:r>
          </w:p>
        </w:tc>
        <w:tc>
          <w:tcPr>
            <w:tcW w:w="867" w:type="pct"/>
            <w:tcBorders>
              <w:top w:val="nil"/>
              <w:left w:val="nil"/>
              <w:bottom w:val="single" w:sz="4" w:space="0" w:color="auto"/>
              <w:right w:val="nil"/>
            </w:tcBorders>
            <w:noWrap/>
            <w:vAlign w:val="bottom"/>
            <w:hideMark/>
          </w:tcPr>
          <w:p>
            <w:pPr>
              <w:pStyle w:val="style0"/>
              <w:spacing w:lineRule="auto" w:line="240"/>
              <w:jc w:val="center"/>
              <w:rPr>
                <w:rFonts w:eastAsia="Times New Roman"/>
                <w:b/>
                <w:bCs/>
                <w:color w:val="000000"/>
                <w:szCs w:val="24"/>
              </w:rPr>
            </w:pPr>
            <w:r>
              <w:rPr>
                <w:rFonts w:eastAsia="Times New Roman"/>
                <w:b/>
                <w:bCs/>
                <w:color w:val="000000"/>
                <w:szCs w:val="24"/>
              </w:rPr>
              <w:t>Percent (%)</w:t>
            </w:r>
          </w:p>
        </w:tc>
      </w:tr>
      <w:tr>
        <w:tblPrEx/>
        <w:trPr>
          <w:trHeight w:val="80" w:hRule="atLeast"/>
        </w:trPr>
        <w:tc>
          <w:tcPr>
            <w:tcW w:w="1534" w:type="pct"/>
            <w:tcBorders>
              <w:top w:val="single" w:sz="4" w:space="0" w:color="auto"/>
              <w:left w:val="nil"/>
              <w:bottom w:val="nil"/>
              <w:right w:val="nil"/>
            </w:tcBorders>
            <w:noWrap/>
            <w:vAlign w:val="bottom"/>
            <w:hideMark/>
          </w:tcPr>
          <w:p>
            <w:pPr>
              <w:pStyle w:val="style0"/>
              <w:spacing w:lineRule="auto" w:line="240"/>
              <w:jc w:val="left"/>
              <w:rPr>
                <w:rFonts w:eastAsia="Times New Roman"/>
                <w:b/>
                <w:bCs/>
                <w:color w:val="000000"/>
                <w:szCs w:val="24"/>
              </w:rPr>
            </w:pPr>
            <w:r>
              <w:rPr>
                <w:rFonts w:eastAsia="Times New Roman"/>
                <w:b/>
                <w:bCs/>
                <w:color w:val="000000"/>
                <w:szCs w:val="24"/>
              </w:rPr>
              <w:t>Gender</w:t>
            </w:r>
          </w:p>
        </w:tc>
        <w:tc>
          <w:tcPr>
            <w:tcW w:w="1013" w:type="pct"/>
            <w:tcBorders>
              <w:top w:val="single" w:sz="4" w:space="0" w:color="auto"/>
              <w:left w:val="nil"/>
              <w:bottom w:val="nil"/>
              <w:right w:val="nil"/>
            </w:tcBorders>
            <w:noWrap/>
            <w:vAlign w:val="bottom"/>
            <w:hideMark/>
          </w:tcPr>
          <w:p>
            <w:pPr>
              <w:pStyle w:val="style0"/>
              <w:spacing w:lineRule="auto" w:line="240"/>
              <w:rPr>
                <w:rFonts w:eastAsia="Times New Roman"/>
                <w:b/>
                <w:bCs/>
                <w:color w:val="000000"/>
                <w:szCs w:val="24"/>
              </w:rPr>
            </w:pPr>
          </w:p>
        </w:tc>
        <w:tc>
          <w:tcPr>
            <w:tcW w:w="869" w:type="pct"/>
            <w:tcBorders>
              <w:top w:val="single" w:sz="4" w:space="0" w:color="auto"/>
              <w:left w:val="nil"/>
              <w:bottom w:val="nil"/>
              <w:right w:val="nil"/>
            </w:tcBorders>
            <w:noWrap/>
            <w:vAlign w:val="bottom"/>
            <w:hideMark/>
          </w:tcPr>
          <w:p>
            <w:pPr>
              <w:pStyle w:val="style0"/>
              <w:spacing w:lineRule="auto" w:line="240"/>
              <w:jc w:val="left"/>
              <w:rPr>
                <w:rFonts w:ascii="Calibri" w:hAnsi="Calibri"/>
                <w:sz w:val="20"/>
                <w:szCs w:val="20"/>
              </w:rPr>
            </w:pPr>
          </w:p>
        </w:tc>
        <w:tc>
          <w:tcPr>
            <w:tcW w:w="717" w:type="pct"/>
            <w:tcBorders>
              <w:top w:val="single" w:sz="4" w:space="0" w:color="auto"/>
              <w:left w:val="nil"/>
              <w:bottom w:val="nil"/>
              <w:right w:val="nil"/>
            </w:tcBorders>
            <w:noWrap/>
            <w:vAlign w:val="bottom"/>
            <w:hideMark/>
          </w:tcPr>
          <w:p>
            <w:pPr>
              <w:pStyle w:val="style0"/>
              <w:spacing w:lineRule="auto" w:line="240"/>
              <w:jc w:val="left"/>
              <w:rPr>
                <w:rFonts w:ascii="Calibri" w:hAnsi="Calibri"/>
                <w:sz w:val="20"/>
                <w:szCs w:val="20"/>
              </w:rPr>
            </w:pPr>
          </w:p>
        </w:tc>
        <w:tc>
          <w:tcPr>
            <w:tcW w:w="867" w:type="pct"/>
            <w:tcBorders>
              <w:top w:val="single" w:sz="4" w:space="0" w:color="auto"/>
              <w:left w:val="nil"/>
              <w:bottom w:val="nil"/>
              <w:right w:val="nil"/>
            </w:tcBorders>
            <w:noWrap/>
            <w:vAlign w:val="bottom"/>
            <w:hideMark/>
          </w:tcPr>
          <w:p>
            <w:pPr>
              <w:pStyle w:val="style0"/>
              <w:spacing w:lineRule="auto" w:line="240"/>
              <w:jc w:val="left"/>
              <w:rPr>
                <w:rFonts w:ascii="Calibri" w:hAnsi="Calibri"/>
                <w:sz w:val="20"/>
                <w:szCs w:val="20"/>
              </w:rPr>
            </w:pPr>
          </w:p>
        </w:tc>
      </w:tr>
      <w:tr>
        <w:tblPrEx/>
        <w:trPr>
          <w:trHeight w:val="17" w:hRule="atLeast"/>
        </w:trPr>
        <w:tc>
          <w:tcPr>
            <w:tcW w:w="1534" w:type="pct"/>
            <w:tcBorders/>
            <w:noWrap/>
            <w:vAlign w:val="bottom"/>
            <w:hideMark/>
          </w:tcPr>
          <w:p>
            <w:pPr>
              <w:pStyle w:val="style0"/>
              <w:spacing w:lineRule="auto" w:line="240"/>
              <w:jc w:val="left"/>
              <w:rPr>
                <w:rFonts w:eastAsia="Times New Roman"/>
                <w:color w:val="000000"/>
                <w:szCs w:val="24"/>
              </w:rPr>
            </w:pPr>
            <w:r>
              <w:rPr>
                <w:rFonts w:eastAsia="Times New Roman"/>
                <w:color w:val="000000"/>
                <w:szCs w:val="24"/>
              </w:rPr>
              <w:t>Male</w:t>
            </w:r>
          </w:p>
        </w:tc>
        <w:tc>
          <w:tcPr>
            <w:tcW w:w="1013" w:type="pct"/>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120</w:t>
            </w:r>
          </w:p>
        </w:tc>
        <w:tc>
          <w:tcPr>
            <w:tcW w:w="869" w:type="pct"/>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64.2</w:t>
            </w:r>
          </w:p>
        </w:tc>
        <w:tc>
          <w:tcPr>
            <w:tcW w:w="717" w:type="pct"/>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45</w:t>
            </w:r>
          </w:p>
        </w:tc>
        <w:tc>
          <w:tcPr>
            <w:tcW w:w="867" w:type="pct"/>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58.4</w:t>
            </w:r>
          </w:p>
        </w:tc>
      </w:tr>
      <w:tr>
        <w:tblPrEx/>
        <w:trPr>
          <w:trHeight w:val="17" w:hRule="atLeast"/>
        </w:trPr>
        <w:tc>
          <w:tcPr>
            <w:tcW w:w="1534" w:type="pct"/>
            <w:tcBorders>
              <w:top w:val="nil"/>
              <w:left w:val="nil"/>
              <w:bottom w:val="single" w:sz="4" w:space="0" w:color="auto"/>
              <w:right w:val="nil"/>
            </w:tcBorders>
            <w:noWrap/>
            <w:vAlign w:val="bottom"/>
            <w:hideMark/>
          </w:tcPr>
          <w:p>
            <w:pPr>
              <w:pStyle w:val="style0"/>
              <w:spacing w:lineRule="auto" w:line="240"/>
              <w:jc w:val="left"/>
              <w:rPr>
                <w:rFonts w:eastAsia="Times New Roman"/>
                <w:color w:val="000000"/>
                <w:szCs w:val="24"/>
              </w:rPr>
            </w:pPr>
            <w:r>
              <w:rPr>
                <w:rFonts w:eastAsia="Times New Roman"/>
                <w:color w:val="000000"/>
                <w:szCs w:val="24"/>
              </w:rPr>
              <w:t>Female</w:t>
            </w:r>
          </w:p>
        </w:tc>
        <w:tc>
          <w:tcPr>
            <w:tcW w:w="1013" w:type="pct"/>
            <w:tcBorders>
              <w:top w:val="nil"/>
              <w:left w:val="nil"/>
              <w:bottom w:val="single" w:sz="4" w:space="0" w:color="auto"/>
              <w:right w:val="nil"/>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67</w:t>
            </w:r>
          </w:p>
        </w:tc>
        <w:tc>
          <w:tcPr>
            <w:tcW w:w="869" w:type="pct"/>
            <w:tcBorders>
              <w:top w:val="nil"/>
              <w:left w:val="nil"/>
              <w:bottom w:val="single" w:sz="4" w:space="0" w:color="auto"/>
              <w:right w:val="nil"/>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35.8</w:t>
            </w:r>
          </w:p>
        </w:tc>
        <w:tc>
          <w:tcPr>
            <w:tcW w:w="717" w:type="pct"/>
            <w:tcBorders>
              <w:top w:val="nil"/>
              <w:left w:val="nil"/>
              <w:bottom w:val="single" w:sz="4" w:space="0" w:color="auto"/>
              <w:right w:val="nil"/>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32</w:t>
            </w:r>
          </w:p>
        </w:tc>
        <w:tc>
          <w:tcPr>
            <w:tcW w:w="867" w:type="pct"/>
            <w:tcBorders>
              <w:top w:val="nil"/>
              <w:left w:val="nil"/>
              <w:bottom w:val="single" w:sz="4" w:space="0" w:color="auto"/>
              <w:right w:val="nil"/>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41.6</w:t>
            </w:r>
          </w:p>
        </w:tc>
      </w:tr>
      <w:tr>
        <w:tblPrEx/>
        <w:trPr>
          <w:trHeight w:val="17" w:hRule="atLeast"/>
        </w:trPr>
        <w:tc>
          <w:tcPr>
            <w:tcW w:w="1534" w:type="pct"/>
            <w:tcBorders>
              <w:top w:val="single" w:sz="4" w:space="0" w:color="auto"/>
              <w:left w:val="nil"/>
              <w:bottom w:val="single" w:sz="4" w:space="0" w:color="auto"/>
              <w:right w:val="nil"/>
            </w:tcBorders>
            <w:noWrap/>
            <w:vAlign w:val="bottom"/>
            <w:hideMark/>
          </w:tcPr>
          <w:p>
            <w:pPr>
              <w:pStyle w:val="style0"/>
              <w:spacing w:lineRule="auto" w:line="240"/>
              <w:jc w:val="left"/>
              <w:rPr>
                <w:rFonts w:eastAsia="Times New Roman"/>
                <w:b/>
                <w:color w:val="000000"/>
                <w:szCs w:val="24"/>
              </w:rPr>
            </w:pPr>
            <w:r>
              <w:rPr>
                <w:rFonts w:eastAsia="Times New Roman"/>
                <w:b/>
                <w:color w:val="000000"/>
                <w:szCs w:val="24"/>
              </w:rPr>
              <w:t>Total</w:t>
            </w:r>
          </w:p>
        </w:tc>
        <w:tc>
          <w:tcPr>
            <w:tcW w:w="1013" w:type="pct"/>
            <w:tcBorders>
              <w:top w:val="single" w:sz="4" w:space="0" w:color="auto"/>
              <w:left w:val="nil"/>
              <w:bottom w:val="single" w:sz="4" w:space="0" w:color="auto"/>
              <w:right w:val="nil"/>
            </w:tcBorders>
            <w:noWrap/>
            <w:vAlign w:val="center"/>
            <w:hideMark/>
          </w:tcPr>
          <w:p>
            <w:pPr>
              <w:pStyle w:val="style0"/>
              <w:spacing w:lineRule="auto" w:line="240"/>
              <w:jc w:val="center"/>
              <w:rPr>
                <w:rFonts w:cs="Times New Roman" w:eastAsia="Times New Roman"/>
                <w:b/>
                <w:color w:val="000000"/>
                <w:szCs w:val="24"/>
              </w:rPr>
            </w:pPr>
            <w:r>
              <w:rPr>
                <w:rFonts w:cs="Times New Roman"/>
                <w:color w:val="000000"/>
                <w:szCs w:val="24"/>
              </w:rPr>
              <w:t>187</w:t>
            </w:r>
          </w:p>
        </w:tc>
        <w:tc>
          <w:tcPr>
            <w:tcW w:w="869" w:type="pct"/>
            <w:tcBorders>
              <w:top w:val="single" w:sz="4" w:space="0" w:color="auto"/>
              <w:left w:val="nil"/>
              <w:bottom w:val="single" w:sz="4" w:space="0" w:color="auto"/>
              <w:right w:val="nil"/>
            </w:tcBorders>
            <w:noWrap/>
            <w:vAlign w:val="center"/>
            <w:hideMark/>
          </w:tcPr>
          <w:p>
            <w:pPr>
              <w:pStyle w:val="style0"/>
              <w:spacing w:lineRule="auto" w:line="240"/>
              <w:jc w:val="center"/>
              <w:rPr>
                <w:rFonts w:cs="Times New Roman" w:eastAsia="Times New Roman"/>
                <w:b/>
                <w:color w:val="000000"/>
                <w:szCs w:val="24"/>
              </w:rPr>
            </w:pPr>
            <w:r>
              <w:rPr>
                <w:rFonts w:cs="Times New Roman"/>
                <w:color w:val="000000"/>
                <w:szCs w:val="24"/>
              </w:rPr>
              <w:t>100.0</w:t>
            </w:r>
          </w:p>
        </w:tc>
        <w:tc>
          <w:tcPr>
            <w:tcW w:w="717" w:type="pct"/>
            <w:tcBorders>
              <w:top w:val="single" w:sz="4" w:space="0" w:color="auto"/>
              <w:left w:val="nil"/>
              <w:bottom w:val="single" w:sz="4" w:space="0" w:color="auto"/>
              <w:right w:val="nil"/>
            </w:tcBorders>
            <w:noWrap/>
            <w:vAlign w:val="center"/>
            <w:hideMark/>
          </w:tcPr>
          <w:p>
            <w:pPr>
              <w:pStyle w:val="style0"/>
              <w:spacing w:lineRule="auto" w:line="240"/>
              <w:jc w:val="center"/>
              <w:rPr>
                <w:rFonts w:cs="Times New Roman" w:eastAsia="Times New Roman"/>
                <w:b/>
                <w:color w:val="000000"/>
                <w:szCs w:val="24"/>
              </w:rPr>
            </w:pPr>
            <w:r>
              <w:rPr>
                <w:rFonts w:cs="Times New Roman"/>
                <w:color w:val="000000"/>
                <w:szCs w:val="24"/>
              </w:rPr>
              <w:t>77</w:t>
            </w:r>
          </w:p>
        </w:tc>
        <w:tc>
          <w:tcPr>
            <w:tcW w:w="867" w:type="pct"/>
            <w:tcBorders>
              <w:top w:val="single" w:sz="4" w:space="0" w:color="auto"/>
              <w:left w:val="nil"/>
              <w:bottom w:val="single" w:sz="4" w:space="0" w:color="auto"/>
              <w:right w:val="nil"/>
            </w:tcBorders>
            <w:noWrap/>
            <w:vAlign w:val="center"/>
            <w:hideMark/>
          </w:tcPr>
          <w:p>
            <w:pPr>
              <w:pStyle w:val="style0"/>
              <w:spacing w:lineRule="auto" w:line="240"/>
              <w:jc w:val="center"/>
              <w:rPr>
                <w:rFonts w:cs="Times New Roman" w:eastAsia="Times New Roman"/>
                <w:b/>
                <w:color w:val="000000"/>
                <w:szCs w:val="24"/>
              </w:rPr>
            </w:pPr>
            <w:r>
              <w:rPr>
                <w:rFonts w:cs="Times New Roman"/>
                <w:color w:val="000000"/>
                <w:szCs w:val="24"/>
              </w:rPr>
              <w:t>100.0</w:t>
            </w:r>
          </w:p>
        </w:tc>
      </w:tr>
    </w:tbl>
    <w:p>
      <w:pPr>
        <w:pStyle w:val="style0"/>
        <w:rPr>
          <w:color w:val="000000"/>
          <w:sz w:val="22"/>
        </w:rPr>
      </w:pPr>
      <w:r>
        <w:rPr>
          <w:color w:val="000000"/>
          <w:sz w:val="22"/>
        </w:rPr>
        <w:t>Parent representatives</w:t>
      </w:r>
      <w:r>
        <w:rPr>
          <w:color w:val="000000"/>
          <w:sz w:val="22"/>
          <w:vertAlign w:val="subscript"/>
        </w:rPr>
        <w:t xml:space="preserve"> = </w:t>
      </w:r>
      <w:r>
        <w:rPr>
          <w:color w:val="000000"/>
          <w:sz w:val="22"/>
        </w:rPr>
        <w:t>187       Class teachers= 77</w:t>
      </w:r>
      <w:r>
        <w:rPr>
          <w:color w:val="000000"/>
          <w:sz w:val="22"/>
        </w:rPr>
        <w:tab/>
      </w:r>
      <w:r>
        <w:rPr>
          <w:color w:val="000000"/>
          <w:sz w:val="22"/>
        </w:rPr>
        <w:t xml:space="preserve"> </w:t>
      </w:r>
    </w:p>
    <w:p>
      <w:pPr>
        <w:pStyle w:val="style0"/>
        <w:rPr/>
      </w:pPr>
      <w:r>
        <w:t xml:space="preserve">Most parent representatives who participated in the study were males, implying that most members of the school </w:t>
      </w:r>
      <w:r>
        <w:t>parents’</w:t>
      </w:r>
      <w:r>
        <w:t xml:space="preserve"> association and committees are males. Parent representative serves a primary role in keeping in touch with school affairs. They also </w:t>
      </w:r>
      <w:r>
        <w:t>present their views regarding school affairs on behalf of other parents. In most learning institutions, there are more male parent representatives compared to females. Stability in partnership is assumed to be a significant factor in the education sustenance, and the encouragement of different forms of cooperation between parent-teacher communication regarding the child’s achievement and conduct, thus the participation of parents in school councils is deemed an important task. However, according to Polovina (</w:t>
      </w:r>
      <w:r>
        <w:t>2020</w:t>
      </w:r>
      <w:r>
        <w:t>), cooperation with parents for teachers and cooperation with teachers for parents is an essential everyday task where mothers attend parent-teacher meetings seven to ten times during the school year, while fathers attend one to three times. Pandey and Thapa (</w:t>
      </w:r>
      <w:r>
        <w:t>2021</w:t>
      </w:r>
      <w:r>
        <w:t xml:space="preserve">) also identified that actual </w:t>
      </w:r>
      <w:r>
        <w:t>academic achievement</w:t>
      </w:r>
      <w:r>
        <w:t xml:space="preserve">s significantly correlate to parental influences. The child-rearing attitudes or parental behavior which may influence pupils’ </w:t>
      </w:r>
      <w:r>
        <w:t>academic achievement</w:t>
      </w:r>
      <w:r>
        <w:t xml:space="preserve"> can be observed in different dimensions such as acceptance, affection, control, warmth, permissiveness, restrictiveness, and demanding behavior. Findings in Table 4.2 indicate that there are more male teachers than female teachers. The teaching career has long been associated with women. There exists an ideological relationship between women’s domestic role and their careers as school teachers. However, the result implies that the majority of teachers are males. In this region, female education is not highly regarded, which may contribute to the highest number of male teachers compared to female teachers. The results are contrary to </w:t>
      </w:r>
      <w:r>
        <w:t>Tašner</w:t>
      </w:r>
      <w:r>
        <w:t xml:space="preserve">, </w:t>
      </w:r>
      <w:r>
        <w:t>Žveglič</w:t>
      </w:r>
      <w:r>
        <w:t xml:space="preserve">, and </w:t>
      </w:r>
      <w:r>
        <w:t>Čeplak’s</w:t>
      </w:r>
      <w:r>
        <w:t xml:space="preserve"> (</w:t>
      </w:r>
      <w:r>
        <w:t>2021</w:t>
      </w:r>
      <w:r>
        <w:t>) idea</w:t>
      </w:r>
      <w:r>
        <w:t xml:space="preserve"> that in the EU, the great majority of teachers are still women, with less than one-third being men. According to </w:t>
      </w:r>
      <w:r>
        <w:t>Tašner</w:t>
      </w:r>
      <w:r>
        <w:t xml:space="preserve">, </w:t>
      </w:r>
      <w:r>
        <w:t>Žveglič</w:t>
      </w:r>
      <w:r>
        <w:t xml:space="preserve">, and </w:t>
      </w:r>
      <w:r>
        <w:t>Čeplak</w:t>
      </w:r>
      <w:r>
        <w:t xml:space="preserve"> (</w:t>
      </w:r>
      <w:r>
        <w:t>2021</w:t>
      </w:r>
      <w:r>
        <w:t xml:space="preserve">) that historically across the OECD, </w:t>
      </w:r>
      <w:r>
        <w:t>women have primarily dominated the teaching profession</w:t>
      </w:r>
      <w:r>
        <w:t xml:space="preserve">. </w:t>
      </w:r>
    </w:p>
    <w:p>
      <w:pPr>
        <w:pStyle w:val="style0"/>
        <w:rPr>
          <w:b/>
        </w:rPr>
      </w:pPr>
      <w:r>
        <w:rPr>
          <w:b/>
          <w:szCs w:val="24"/>
        </w:rPr>
        <w:t xml:space="preserve">4.3.2 </w:t>
      </w:r>
      <w:r>
        <w:rPr>
          <w:b/>
        </w:rPr>
        <w:t>Highest level of education</w:t>
      </w:r>
    </w:p>
    <w:bookmarkStart w:id="135" w:name="_Toc26870058"/>
    <w:p>
      <w:pPr>
        <w:pStyle w:val="style0"/>
        <w:rPr/>
      </w:pPr>
      <w:r>
        <w:t>The study presented the level of education of respondents that participated in the study. Indicating the level of education will significantly help measure any substantial relationship between respondents’ level of education, social and economic factors, and pupils’ academic levels.</w:t>
      </w:r>
    </w:p>
    <w:p>
      <w:pPr>
        <w:pStyle w:val="style0"/>
        <w:rPr/>
      </w:pPr>
    </w:p>
    <w:p>
      <w:pPr>
        <w:pStyle w:val="style0"/>
        <w:rPr/>
      </w:pPr>
    </w:p>
    <w:p>
      <w:pPr>
        <w:pStyle w:val="style0"/>
        <w:rPr/>
      </w:pPr>
    </w:p>
    <w:p>
      <w:pPr>
        <w:pStyle w:val="style0"/>
        <w:rPr/>
      </w:pPr>
    </w:p>
    <w:bookmarkStart w:id="136" w:name="_Toc144196180"/>
    <w:p>
      <w:pPr>
        <w:pStyle w:val="style4"/>
        <w:spacing w:before="120" w:after="120"/>
        <w:rPr>
          <w:szCs w:val="24"/>
        </w:rPr>
      </w:pPr>
      <w:r>
        <w:rPr>
          <w:szCs w:val="24"/>
        </w:rPr>
        <w:t>Table 4.</w:t>
      </w:r>
      <w:r>
        <w:rPr>
          <w:szCs w:val="24"/>
        </w:rPr>
        <w:t>4</w:t>
      </w:r>
      <w:r>
        <w:rPr>
          <w:szCs w:val="24"/>
        </w:rPr>
        <w:t xml:space="preserve">: </w:t>
      </w:r>
      <w:r>
        <w:t xml:space="preserve">Distribution of respondents by </w:t>
      </w:r>
      <w:r>
        <w:rPr>
          <w:rFonts w:eastAsia="Times New Roman"/>
          <w:bCs w:val="false"/>
          <w:color w:val="000000"/>
          <w:szCs w:val="24"/>
        </w:rPr>
        <w:t>level of education</w:t>
      </w:r>
      <w:bookmarkEnd w:id="135"/>
      <w:bookmarkEnd w:id="136"/>
    </w:p>
    <w:tbl>
      <w:tblPr>
        <w:tblW w:w="5000" w:type="pct"/>
        <w:tblLook w:val="04A0" w:firstRow="1" w:lastRow="0" w:firstColumn="1" w:lastColumn="0" w:noHBand="0" w:noVBand="1"/>
      </w:tblPr>
      <w:tblGrid>
        <w:gridCol w:w="3222"/>
        <w:gridCol w:w="1499"/>
        <w:gridCol w:w="1462"/>
        <w:gridCol w:w="576"/>
        <w:gridCol w:w="1462"/>
      </w:tblGrid>
      <w:tr>
        <w:trPr>
          <w:trHeight w:val="17" w:hRule="atLeast"/>
        </w:trPr>
        <w:tc>
          <w:tcPr>
            <w:tcW w:w="1762" w:type="pct"/>
            <w:tcBorders>
              <w:top w:val="single" w:sz="4" w:space="0" w:color="auto"/>
              <w:left w:val="nil"/>
              <w:bottom w:val="nil"/>
              <w:right w:val="nil"/>
            </w:tcBorders>
            <w:noWrap/>
            <w:vAlign w:val="bottom"/>
            <w:hideMark/>
          </w:tcPr>
          <w:p>
            <w:pPr>
              <w:pStyle w:val="style0"/>
              <w:spacing w:lineRule="auto" w:line="240"/>
              <w:jc w:val="left"/>
              <w:rPr>
                <w:rFonts w:cs="Times New Roman" w:eastAsia="Times New Roman"/>
                <w:b/>
                <w:bCs/>
                <w:color w:val="000000"/>
                <w:szCs w:val="24"/>
              </w:rPr>
            </w:pPr>
            <w:r>
              <w:rPr>
                <w:rFonts w:cs="Times New Roman" w:eastAsia="Times New Roman"/>
                <w:b/>
                <w:bCs/>
                <w:color w:val="000000"/>
                <w:szCs w:val="24"/>
              </w:rPr>
              <w:t>Demographic Characteristics</w:t>
            </w:r>
          </w:p>
        </w:tc>
        <w:tc>
          <w:tcPr>
            <w:tcW w:w="1899" w:type="pct"/>
            <w:gridSpan w:val="2"/>
            <w:tcBorders>
              <w:top w:val="single" w:sz="4" w:space="0" w:color="auto"/>
              <w:left w:val="nil"/>
              <w:bottom w:val="nil"/>
              <w:right w:val="nil"/>
            </w:tcBorders>
            <w:noWrap/>
            <w:vAlign w:val="bottom"/>
            <w:hideMark/>
          </w:tcPr>
          <w:p>
            <w:pPr>
              <w:pStyle w:val="style0"/>
              <w:spacing w:lineRule="auto" w:line="240"/>
              <w:jc w:val="center"/>
              <w:rPr>
                <w:rFonts w:cs="Times New Roman" w:eastAsia="Times New Roman"/>
                <w:b/>
                <w:bCs/>
                <w:color w:val="000000"/>
                <w:szCs w:val="24"/>
              </w:rPr>
            </w:pPr>
            <w:r>
              <w:rPr>
                <w:rFonts w:cs="Times New Roman" w:eastAsia="Times New Roman"/>
                <w:b/>
                <w:bCs/>
                <w:color w:val="000000"/>
                <w:szCs w:val="24"/>
              </w:rPr>
              <w:t xml:space="preserve">Parent representatives </w:t>
            </w:r>
          </w:p>
        </w:tc>
        <w:tc>
          <w:tcPr>
            <w:tcW w:w="1339" w:type="pct"/>
            <w:gridSpan w:val="2"/>
            <w:tcBorders>
              <w:top w:val="single" w:sz="4" w:space="0" w:color="auto"/>
              <w:left w:val="nil"/>
              <w:bottom w:val="nil"/>
              <w:right w:val="nil"/>
            </w:tcBorders>
            <w:noWrap/>
            <w:vAlign w:val="bottom"/>
            <w:hideMark/>
          </w:tcPr>
          <w:p>
            <w:pPr>
              <w:pStyle w:val="style0"/>
              <w:spacing w:lineRule="auto" w:line="240"/>
              <w:jc w:val="center"/>
              <w:rPr>
                <w:rFonts w:cs="Times New Roman" w:eastAsia="Times New Roman"/>
                <w:b/>
                <w:bCs/>
                <w:color w:val="000000"/>
                <w:szCs w:val="24"/>
              </w:rPr>
            </w:pPr>
            <w:r>
              <w:rPr>
                <w:rFonts w:cs="Times New Roman" w:eastAsia="Times New Roman"/>
                <w:b/>
                <w:bCs/>
                <w:color w:val="000000"/>
                <w:szCs w:val="24"/>
              </w:rPr>
              <w:t>Class Teachers</w:t>
            </w:r>
          </w:p>
        </w:tc>
      </w:tr>
      <w:tr>
        <w:tblPrEx/>
        <w:trPr>
          <w:trHeight w:val="17" w:hRule="atLeast"/>
        </w:trPr>
        <w:tc>
          <w:tcPr>
            <w:tcW w:w="1762" w:type="pct"/>
            <w:tcBorders>
              <w:top w:val="nil"/>
              <w:left w:val="nil"/>
              <w:bottom w:val="single" w:sz="4" w:space="0" w:color="auto"/>
              <w:right w:val="nil"/>
            </w:tcBorders>
            <w:noWrap/>
            <w:vAlign w:val="bottom"/>
            <w:hideMark/>
          </w:tcPr>
          <w:p>
            <w:pPr>
              <w:pStyle w:val="style0"/>
              <w:spacing w:lineRule="auto" w:line="240"/>
              <w:jc w:val="left"/>
              <w:rPr>
                <w:rFonts w:cs="Times New Roman" w:eastAsia="Times New Roman"/>
                <w:b/>
                <w:bCs/>
                <w:color w:val="000000"/>
                <w:szCs w:val="24"/>
              </w:rPr>
            </w:pPr>
            <w:r>
              <w:rPr>
                <w:rFonts w:cs="Times New Roman" w:eastAsia="Times New Roman"/>
                <w:b/>
                <w:bCs/>
                <w:color w:val="000000"/>
                <w:szCs w:val="24"/>
              </w:rPr>
              <w:t> </w:t>
            </w:r>
          </w:p>
        </w:tc>
        <w:tc>
          <w:tcPr>
            <w:tcW w:w="1071" w:type="pct"/>
            <w:tcBorders>
              <w:top w:val="nil"/>
              <w:left w:val="nil"/>
              <w:bottom w:val="single" w:sz="4" w:space="0" w:color="auto"/>
              <w:right w:val="nil"/>
            </w:tcBorders>
            <w:noWrap/>
            <w:vAlign w:val="bottom"/>
            <w:hideMark/>
          </w:tcPr>
          <w:p>
            <w:pPr>
              <w:pStyle w:val="style0"/>
              <w:spacing w:lineRule="auto" w:line="240"/>
              <w:jc w:val="center"/>
              <w:rPr>
                <w:rFonts w:cs="Times New Roman" w:eastAsia="Times New Roman"/>
                <w:b/>
                <w:bCs/>
                <w:color w:val="000000"/>
                <w:szCs w:val="24"/>
              </w:rPr>
            </w:pPr>
            <w:r>
              <w:rPr>
                <w:rFonts w:cs="Times New Roman" w:eastAsia="Times New Roman"/>
                <w:b/>
                <w:bCs/>
                <w:color w:val="000000"/>
                <w:szCs w:val="24"/>
              </w:rPr>
              <w:t>f</w:t>
            </w:r>
          </w:p>
        </w:tc>
        <w:tc>
          <w:tcPr>
            <w:tcW w:w="828" w:type="pct"/>
            <w:tcBorders>
              <w:top w:val="nil"/>
              <w:left w:val="nil"/>
              <w:bottom w:val="single" w:sz="4" w:space="0" w:color="auto"/>
              <w:right w:val="nil"/>
            </w:tcBorders>
            <w:noWrap/>
            <w:vAlign w:val="bottom"/>
            <w:hideMark/>
          </w:tcPr>
          <w:p>
            <w:pPr>
              <w:pStyle w:val="style0"/>
              <w:spacing w:lineRule="auto" w:line="240"/>
              <w:jc w:val="center"/>
              <w:rPr>
                <w:rFonts w:cs="Times New Roman" w:eastAsia="Times New Roman"/>
                <w:b/>
                <w:bCs/>
                <w:color w:val="000000"/>
                <w:szCs w:val="24"/>
              </w:rPr>
            </w:pPr>
            <w:r>
              <w:rPr>
                <w:rFonts w:cs="Times New Roman" w:eastAsia="Times New Roman"/>
                <w:b/>
                <w:bCs/>
                <w:color w:val="000000"/>
                <w:szCs w:val="24"/>
              </w:rPr>
              <w:t>Percent (%)</w:t>
            </w:r>
          </w:p>
        </w:tc>
        <w:tc>
          <w:tcPr>
            <w:tcW w:w="487" w:type="pct"/>
            <w:tcBorders>
              <w:top w:val="nil"/>
              <w:left w:val="nil"/>
              <w:bottom w:val="single" w:sz="4" w:space="0" w:color="auto"/>
              <w:right w:val="nil"/>
            </w:tcBorders>
            <w:noWrap/>
            <w:vAlign w:val="bottom"/>
            <w:hideMark/>
          </w:tcPr>
          <w:p>
            <w:pPr>
              <w:pStyle w:val="style0"/>
              <w:spacing w:lineRule="auto" w:line="240"/>
              <w:jc w:val="center"/>
              <w:rPr>
                <w:rFonts w:cs="Times New Roman" w:eastAsia="Times New Roman"/>
                <w:b/>
                <w:bCs/>
                <w:color w:val="000000"/>
                <w:szCs w:val="24"/>
              </w:rPr>
            </w:pPr>
            <w:r>
              <w:rPr>
                <w:rFonts w:cs="Times New Roman" w:eastAsia="Times New Roman"/>
                <w:b/>
                <w:bCs/>
                <w:color w:val="000000"/>
                <w:szCs w:val="24"/>
              </w:rPr>
              <w:t>f</w:t>
            </w:r>
          </w:p>
        </w:tc>
        <w:tc>
          <w:tcPr>
            <w:tcW w:w="852" w:type="pct"/>
            <w:tcBorders>
              <w:top w:val="nil"/>
              <w:left w:val="nil"/>
              <w:bottom w:val="single" w:sz="4" w:space="0" w:color="auto"/>
              <w:right w:val="nil"/>
            </w:tcBorders>
            <w:noWrap/>
            <w:vAlign w:val="bottom"/>
            <w:hideMark/>
          </w:tcPr>
          <w:p>
            <w:pPr>
              <w:pStyle w:val="style0"/>
              <w:spacing w:lineRule="auto" w:line="240"/>
              <w:jc w:val="center"/>
              <w:rPr>
                <w:rFonts w:cs="Times New Roman" w:eastAsia="Times New Roman"/>
                <w:b/>
                <w:bCs/>
                <w:color w:val="000000"/>
                <w:szCs w:val="24"/>
              </w:rPr>
            </w:pPr>
            <w:r>
              <w:rPr>
                <w:rFonts w:cs="Times New Roman" w:eastAsia="Times New Roman"/>
                <w:b/>
                <w:bCs/>
                <w:color w:val="000000"/>
                <w:szCs w:val="24"/>
              </w:rPr>
              <w:t>Percent (%)</w:t>
            </w:r>
          </w:p>
        </w:tc>
      </w:tr>
      <w:tr>
        <w:tblPrEx/>
        <w:trPr>
          <w:trHeight w:val="17" w:hRule="atLeast"/>
        </w:trPr>
        <w:tc>
          <w:tcPr>
            <w:tcW w:w="1762" w:type="pct"/>
            <w:tcBorders>
              <w:top w:val="single" w:sz="4" w:space="0" w:color="auto"/>
              <w:left w:val="nil"/>
              <w:bottom w:val="nil"/>
              <w:right w:val="nil"/>
            </w:tcBorders>
            <w:noWrap/>
            <w:vAlign w:val="bottom"/>
            <w:hideMark/>
          </w:tcPr>
          <w:p>
            <w:pPr>
              <w:pStyle w:val="style0"/>
              <w:spacing w:lineRule="auto" w:line="240"/>
              <w:jc w:val="left"/>
              <w:rPr>
                <w:rFonts w:cs="Times New Roman" w:eastAsia="Times New Roman"/>
                <w:b/>
                <w:bCs/>
                <w:color w:val="000000"/>
                <w:szCs w:val="24"/>
              </w:rPr>
            </w:pPr>
            <w:r>
              <w:rPr>
                <w:rFonts w:cs="Times New Roman" w:eastAsia="Times New Roman"/>
                <w:b/>
                <w:bCs/>
                <w:color w:val="000000"/>
                <w:szCs w:val="24"/>
              </w:rPr>
              <w:t>Level of education</w:t>
            </w:r>
          </w:p>
        </w:tc>
        <w:tc>
          <w:tcPr>
            <w:tcW w:w="1071" w:type="pct"/>
            <w:tcBorders>
              <w:top w:val="single" w:sz="4" w:space="0" w:color="auto"/>
              <w:left w:val="nil"/>
              <w:bottom w:val="nil"/>
              <w:right w:val="nil"/>
            </w:tcBorders>
            <w:noWrap/>
            <w:vAlign w:val="bottom"/>
          </w:tcPr>
          <w:p>
            <w:pPr>
              <w:pStyle w:val="style0"/>
              <w:spacing w:lineRule="auto" w:line="240"/>
              <w:jc w:val="center"/>
              <w:rPr>
                <w:rFonts w:cs="Times New Roman" w:eastAsia="Times New Roman"/>
                <w:color w:val="000000"/>
                <w:szCs w:val="24"/>
              </w:rPr>
            </w:pPr>
          </w:p>
        </w:tc>
        <w:tc>
          <w:tcPr>
            <w:tcW w:w="828" w:type="pct"/>
            <w:tcBorders>
              <w:top w:val="single" w:sz="4" w:space="0" w:color="auto"/>
              <w:left w:val="nil"/>
              <w:bottom w:val="nil"/>
              <w:right w:val="nil"/>
            </w:tcBorders>
            <w:noWrap/>
            <w:vAlign w:val="bottom"/>
          </w:tcPr>
          <w:p>
            <w:pPr>
              <w:pStyle w:val="style0"/>
              <w:spacing w:lineRule="auto" w:line="240"/>
              <w:jc w:val="center"/>
              <w:rPr>
                <w:rFonts w:cs="Times New Roman" w:eastAsia="Times New Roman"/>
                <w:color w:val="000000"/>
                <w:szCs w:val="24"/>
              </w:rPr>
            </w:pPr>
          </w:p>
        </w:tc>
        <w:tc>
          <w:tcPr>
            <w:tcW w:w="487" w:type="pct"/>
            <w:tcBorders>
              <w:top w:val="single" w:sz="4" w:space="0" w:color="auto"/>
              <w:left w:val="nil"/>
              <w:bottom w:val="nil"/>
              <w:right w:val="nil"/>
            </w:tcBorders>
            <w:noWrap/>
            <w:vAlign w:val="center"/>
          </w:tcPr>
          <w:p>
            <w:pPr>
              <w:pStyle w:val="style0"/>
              <w:autoSpaceDE w:val="false"/>
              <w:autoSpaceDN w:val="false"/>
              <w:adjustRightInd w:val="false"/>
              <w:spacing w:lineRule="auto" w:line="240"/>
              <w:ind w:left="60" w:right="60"/>
              <w:jc w:val="center"/>
              <w:rPr>
                <w:rFonts w:cs="Times New Roman"/>
                <w:color w:val="000000"/>
                <w:szCs w:val="24"/>
              </w:rPr>
            </w:pPr>
          </w:p>
        </w:tc>
        <w:tc>
          <w:tcPr>
            <w:tcW w:w="852" w:type="pct"/>
            <w:tcBorders>
              <w:top w:val="single" w:sz="4" w:space="0" w:color="auto"/>
              <w:left w:val="nil"/>
              <w:bottom w:val="nil"/>
              <w:right w:val="nil"/>
            </w:tcBorders>
            <w:noWrap/>
            <w:vAlign w:val="center"/>
          </w:tcPr>
          <w:p>
            <w:pPr>
              <w:pStyle w:val="style0"/>
              <w:autoSpaceDE w:val="false"/>
              <w:autoSpaceDN w:val="false"/>
              <w:adjustRightInd w:val="false"/>
              <w:spacing w:lineRule="auto" w:line="240"/>
              <w:ind w:left="60" w:right="60"/>
              <w:jc w:val="center"/>
              <w:rPr>
                <w:rFonts w:cs="Times New Roman"/>
                <w:color w:val="000000"/>
                <w:szCs w:val="24"/>
              </w:rPr>
            </w:pPr>
          </w:p>
        </w:tc>
      </w:tr>
      <w:tr>
        <w:tblPrEx/>
        <w:trPr>
          <w:trHeight w:val="17" w:hRule="atLeast"/>
        </w:trPr>
        <w:tc>
          <w:tcPr>
            <w:tcW w:w="1762"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None</w:t>
            </w:r>
          </w:p>
        </w:tc>
        <w:tc>
          <w:tcPr>
            <w:tcW w:w="1071" w:type="pct"/>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21</w:t>
            </w:r>
          </w:p>
        </w:tc>
        <w:tc>
          <w:tcPr>
            <w:tcW w:w="828" w:type="pct"/>
            <w:tcBorders/>
            <w:noWrap/>
            <w:vAlign w:val="center"/>
            <w:hideMark/>
          </w:tcPr>
          <w:p>
            <w:pPr>
              <w:pStyle w:val="style0"/>
              <w:spacing w:lineRule="auto" w:line="240"/>
              <w:jc w:val="center"/>
              <w:rPr>
                <w:rFonts w:cs="Times New Roman" w:eastAsia="Times New Roman"/>
                <w:color w:val="000000"/>
                <w:szCs w:val="24"/>
              </w:rPr>
            </w:pPr>
            <w:r>
              <w:rPr>
                <w:rFonts w:cs="Times New Roman"/>
                <w:color w:val="000000"/>
                <w:szCs w:val="24"/>
              </w:rPr>
              <w:t>11.2</w:t>
            </w:r>
          </w:p>
        </w:tc>
        <w:tc>
          <w:tcPr>
            <w:tcW w:w="487"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w:t>
            </w:r>
          </w:p>
        </w:tc>
        <w:tc>
          <w:tcPr>
            <w:tcW w:w="85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w:t>
            </w:r>
          </w:p>
        </w:tc>
      </w:tr>
      <w:tr>
        <w:tblPrEx/>
        <w:trPr>
          <w:trHeight w:val="17" w:hRule="atLeast"/>
        </w:trPr>
        <w:tc>
          <w:tcPr>
            <w:tcW w:w="1762"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Primary</w:t>
            </w:r>
          </w:p>
        </w:tc>
        <w:tc>
          <w:tcPr>
            <w:tcW w:w="10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 xml:space="preserve">56 </w:t>
            </w:r>
          </w:p>
        </w:tc>
        <w:tc>
          <w:tcPr>
            <w:tcW w:w="828"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29.9</w:t>
            </w:r>
          </w:p>
        </w:tc>
        <w:tc>
          <w:tcPr>
            <w:tcW w:w="487"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w:t>
            </w:r>
          </w:p>
        </w:tc>
        <w:tc>
          <w:tcPr>
            <w:tcW w:w="85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w:t>
            </w:r>
          </w:p>
        </w:tc>
      </w:tr>
      <w:tr>
        <w:tblPrEx/>
        <w:trPr>
          <w:trHeight w:val="17" w:hRule="atLeast"/>
        </w:trPr>
        <w:tc>
          <w:tcPr>
            <w:tcW w:w="1762"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Secondary</w:t>
            </w:r>
          </w:p>
        </w:tc>
        <w:tc>
          <w:tcPr>
            <w:tcW w:w="10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43</w:t>
            </w:r>
          </w:p>
        </w:tc>
        <w:tc>
          <w:tcPr>
            <w:tcW w:w="828"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23.0</w:t>
            </w:r>
          </w:p>
        </w:tc>
        <w:tc>
          <w:tcPr>
            <w:tcW w:w="487"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w:t>
            </w:r>
          </w:p>
        </w:tc>
        <w:tc>
          <w:tcPr>
            <w:tcW w:w="85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w:t>
            </w:r>
          </w:p>
        </w:tc>
      </w:tr>
      <w:tr>
        <w:tblPrEx/>
        <w:trPr>
          <w:trHeight w:val="17" w:hRule="atLeast"/>
        </w:trPr>
        <w:tc>
          <w:tcPr>
            <w:tcW w:w="1762"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Certificate</w:t>
            </w:r>
          </w:p>
        </w:tc>
        <w:tc>
          <w:tcPr>
            <w:tcW w:w="10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19</w:t>
            </w:r>
          </w:p>
        </w:tc>
        <w:tc>
          <w:tcPr>
            <w:tcW w:w="828"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10.2</w:t>
            </w:r>
          </w:p>
        </w:tc>
        <w:tc>
          <w:tcPr>
            <w:tcW w:w="487"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9</w:t>
            </w:r>
          </w:p>
        </w:tc>
        <w:tc>
          <w:tcPr>
            <w:tcW w:w="85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11.7</w:t>
            </w:r>
          </w:p>
        </w:tc>
      </w:tr>
      <w:tr>
        <w:tblPrEx/>
        <w:trPr>
          <w:trHeight w:val="17" w:hRule="atLeast"/>
        </w:trPr>
        <w:tc>
          <w:tcPr>
            <w:tcW w:w="1762"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Diploma college</w:t>
            </w:r>
          </w:p>
        </w:tc>
        <w:tc>
          <w:tcPr>
            <w:tcW w:w="10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31</w:t>
            </w:r>
          </w:p>
        </w:tc>
        <w:tc>
          <w:tcPr>
            <w:tcW w:w="828"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16.6</w:t>
            </w:r>
          </w:p>
        </w:tc>
        <w:tc>
          <w:tcPr>
            <w:tcW w:w="487"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49</w:t>
            </w:r>
          </w:p>
        </w:tc>
        <w:tc>
          <w:tcPr>
            <w:tcW w:w="85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63.6</w:t>
            </w:r>
          </w:p>
        </w:tc>
      </w:tr>
      <w:tr>
        <w:tblPrEx/>
        <w:trPr>
          <w:trHeight w:val="17" w:hRule="atLeast"/>
        </w:trPr>
        <w:tc>
          <w:tcPr>
            <w:tcW w:w="1762"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University</w:t>
            </w:r>
          </w:p>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(Bachelor’s, postgraduate)</w:t>
            </w:r>
          </w:p>
        </w:tc>
        <w:tc>
          <w:tcPr>
            <w:tcW w:w="1071"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17</w:t>
            </w:r>
          </w:p>
        </w:tc>
        <w:tc>
          <w:tcPr>
            <w:tcW w:w="828"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9.1</w:t>
            </w:r>
          </w:p>
        </w:tc>
        <w:tc>
          <w:tcPr>
            <w:tcW w:w="487"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19</w:t>
            </w:r>
          </w:p>
        </w:tc>
        <w:tc>
          <w:tcPr>
            <w:tcW w:w="852"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24.7</w:t>
            </w:r>
          </w:p>
        </w:tc>
      </w:tr>
      <w:tr>
        <w:tblPrEx/>
        <w:trPr>
          <w:trHeight w:val="17" w:hRule="atLeast"/>
        </w:trPr>
        <w:tc>
          <w:tcPr>
            <w:tcW w:w="1762"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left"/>
              <w:rPr>
                <w:rFonts w:cs="Times New Roman"/>
                <w:b/>
                <w:color w:val="000000"/>
                <w:szCs w:val="24"/>
              </w:rPr>
            </w:pPr>
            <w:r>
              <w:rPr>
                <w:rFonts w:cs="Times New Roman"/>
                <w:b/>
                <w:color w:val="000000"/>
                <w:szCs w:val="24"/>
              </w:rPr>
              <w:t>Total</w:t>
            </w:r>
          </w:p>
        </w:tc>
        <w:tc>
          <w:tcPr>
            <w:tcW w:w="1071"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b/>
                <w:color w:val="000000"/>
                <w:szCs w:val="24"/>
              </w:rPr>
            </w:pPr>
            <w:r>
              <w:rPr>
                <w:rFonts w:cs="Times New Roman"/>
                <w:b/>
                <w:color w:val="000000"/>
                <w:szCs w:val="24"/>
              </w:rPr>
              <w:t>187</w:t>
            </w:r>
          </w:p>
        </w:tc>
        <w:tc>
          <w:tcPr>
            <w:tcW w:w="828"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b/>
                <w:color w:val="000000"/>
                <w:szCs w:val="24"/>
              </w:rPr>
            </w:pPr>
            <w:r>
              <w:rPr>
                <w:rFonts w:cs="Times New Roman"/>
                <w:b/>
                <w:color w:val="000000"/>
                <w:szCs w:val="24"/>
              </w:rPr>
              <w:t>100.0</w:t>
            </w:r>
          </w:p>
        </w:tc>
        <w:tc>
          <w:tcPr>
            <w:tcW w:w="487" w:type="pct"/>
            <w:tcBorders>
              <w:top w:val="single" w:sz="4" w:space="0" w:color="auto"/>
              <w:left w:val="nil"/>
              <w:bottom w:val="single" w:sz="4" w:space="0" w:color="auto"/>
              <w:right w:val="nil"/>
            </w:tcBorders>
            <w:noWrap/>
            <w:vAlign w:val="center"/>
            <w:hideMark/>
          </w:tcPr>
          <w:p>
            <w:pPr>
              <w:pStyle w:val="style0"/>
              <w:spacing w:lineRule="auto" w:line="240"/>
              <w:jc w:val="center"/>
              <w:rPr>
                <w:rFonts w:cs="Times New Roman" w:eastAsia="Times New Roman"/>
                <w:b/>
                <w:color w:val="000000"/>
                <w:szCs w:val="24"/>
              </w:rPr>
            </w:pPr>
            <w:r>
              <w:rPr>
                <w:rFonts w:cs="Times New Roman"/>
                <w:color w:val="000000"/>
                <w:szCs w:val="24"/>
              </w:rPr>
              <w:t>77</w:t>
            </w:r>
          </w:p>
        </w:tc>
        <w:tc>
          <w:tcPr>
            <w:tcW w:w="852" w:type="pct"/>
            <w:tcBorders>
              <w:top w:val="single" w:sz="4" w:space="0" w:color="auto"/>
              <w:left w:val="nil"/>
              <w:bottom w:val="single" w:sz="4" w:space="0" w:color="auto"/>
              <w:right w:val="nil"/>
            </w:tcBorders>
            <w:noWrap/>
            <w:vAlign w:val="center"/>
            <w:hideMark/>
          </w:tcPr>
          <w:p>
            <w:pPr>
              <w:pStyle w:val="style0"/>
              <w:spacing w:lineRule="auto" w:line="240"/>
              <w:jc w:val="center"/>
              <w:rPr>
                <w:rFonts w:cs="Times New Roman" w:eastAsia="Times New Roman"/>
                <w:b/>
                <w:color w:val="000000"/>
                <w:szCs w:val="24"/>
              </w:rPr>
            </w:pPr>
            <w:r>
              <w:rPr>
                <w:rFonts w:cs="Times New Roman"/>
                <w:color w:val="000000"/>
                <w:szCs w:val="24"/>
              </w:rPr>
              <w:t>100.0</w:t>
            </w:r>
          </w:p>
        </w:tc>
      </w:tr>
    </w:tbl>
    <w:p>
      <w:pPr>
        <w:pStyle w:val="style0"/>
        <w:rPr>
          <w:szCs w:val="24"/>
        </w:rPr>
      </w:pPr>
      <w:r>
        <w:rPr>
          <w:color w:val="000000"/>
          <w:sz w:val="22"/>
        </w:rPr>
        <w:t>Parent representatives</w:t>
      </w:r>
      <w:r>
        <w:rPr>
          <w:color w:val="000000"/>
          <w:sz w:val="22"/>
          <w:vertAlign w:val="subscript"/>
        </w:rPr>
        <w:t xml:space="preserve"> = </w:t>
      </w:r>
      <w:r>
        <w:rPr>
          <w:color w:val="000000"/>
          <w:sz w:val="22"/>
        </w:rPr>
        <w:t>187       Class teachers= 77</w:t>
      </w:r>
    </w:p>
    <w:p>
      <w:pPr>
        <w:pStyle w:val="style0"/>
        <w:rPr/>
      </w:pPr>
      <w:r>
        <w:t xml:space="preserve">Most parent representatives had basic elementary, primary, secondary, and certificate education. Few parents had pursued education to tertiary levels, particularly university. The fact that most parents had lower than secondary education levels implies that most parents could not comprehend the importance of emphasizing education for their children. </w:t>
      </w:r>
    </w:p>
    <w:p>
      <w:pPr>
        <w:pStyle w:val="style0"/>
        <w:ind w:left="720"/>
        <w:rPr>
          <w:rFonts w:cs="Times New Roman"/>
          <w:szCs w:val="24"/>
        </w:rPr>
      </w:pPr>
      <w:r>
        <w:t xml:space="preserve">‘High educated parents dedicate a lot of time, energy, and money to help their children to perform well in academic activities. Educated parents assist their children to do homework given to them by the school and even to prepare timetable for the children to follow in relation to their school works at home, and make sure they abide by it, </w:t>
      </w:r>
      <w:r>
        <w:rPr>
          <w:rFonts w:cs="Times New Roman"/>
          <w:szCs w:val="24"/>
        </w:rPr>
        <w:t>Head teacher 6, [Key Informant Interviewee, 2021].</w:t>
      </w:r>
    </w:p>
    <w:p>
      <w:pPr>
        <w:pStyle w:val="style0"/>
        <w:rPr/>
      </w:pPr>
      <w:r>
        <w:t xml:space="preserve">Parents are the first teachers to their children. In light of this, parental education influences the child’s first experiences and interactions, shaping their early knowledge of themselves and the world around them, thus affecting the student’s </w:t>
      </w:r>
      <w:r>
        <w:t>academic achievement</w:t>
      </w:r>
      <w:r>
        <w:t>. Ahmad (</w:t>
      </w:r>
      <w:r>
        <w:t>2020</w:t>
      </w:r>
      <w:r>
        <w:t xml:space="preserve">) suggested that children from families where parents are less educated tend to perform poorly in school compared to those children whose </w:t>
      </w:r>
      <w:r>
        <w:t xml:space="preserve">parents are more educated. Educated parents will provide their children with academic, economic, psychological, and emotional support, making them more comfortable and adjusting to their learning development, thus resulting in high </w:t>
      </w:r>
      <w:r>
        <w:t>academic achievement</w:t>
      </w:r>
      <w:r>
        <w:t>. The results further agree with Bakar, Mamat, and Ibrahim (</w:t>
      </w:r>
      <w:r>
        <w:t>2021</w:t>
      </w:r>
      <w:r>
        <w:t>) that students from parents with high educational qualifications will perform better than those with lower educational qualifications.</w:t>
      </w:r>
    </w:p>
    <w:p>
      <w:pPr>
        <w:pStyle w:val="style0"/>
        <w:rPr/>
      </w:pPr>
      <w:r>
        <w:t>Illustrations in Table 4.3 indicate that most of the teachers who participated in the research had diploma levels of education. The results imply that the teachers are well trained to enhance academic delivery. In addition, the level of education facilitates the acquisition of necessary management skills required to manage learning institutions. The results concur with the Republic of Kenya Basic Education Act (</w:t>
      </w:r>
      <w:r>
        <w:t>2020</w:t>
      </w:r>
      <w:r>
        <w:t xml:space="preserve">) requirements that teachers employed in primary education must be a holder of a P1 certificate or equivalent in education from a recognized college or post-diploma qualification. However, according to (Bonney, Amoah, Micah, </w:t>
      </w:r>
      <w:r>
        <w:t>Ahiamenyo</w:t>
      </w:r>
      <w:r>
        <w:t xml:space="preserve">, and Lemaire </w:t>
      </w:r>
      <w:r>
        <w:t>2021</w:t>
      </w:r>
      <w:r>
        <w:t xml:space="preserve">), a study on the quality of teachers and pupils' </w:t>
      </w:r>
      <w:r>
        <w:t>academic achievement</w:t>
      </w:r>
      <w:r>
        <w:t xml:space="preserve"> in Ghana identified that even if the quality of teachers might be high in terms of their academic and professional qualifications, that may not be reflected in the performances of their students.</w:t>
      </w:r>
    </w:p>
    <w:p>
      <w:pPr>
        <w:pStyle w:val="style0"/>
        <w:rPr>
          <w:b/>
          <w:bCs/>
        </w:rPr>
      </w:pPr>
      <w:r>
        <w:rPr>
          <w:b/>
          <w:bCs/>
          <w:szCs w:val="24"/>
        </w:rPr>
        <w:t xml:space="preserve">4.3.3 </w:t>
      </w:r>
      <w:r>
        <w:rPr>
          <w:b/>
          <w:bCs/>
        </w:rPr>
        <w:t xml:space="preserve">Distribution of parent representatives by </w:t>
      </w:r>
      <w:r>
        <w:rPr>
          <w:rFonts w:eastAsia="Times New Roman"/>
          <w:b/>
          <w:bCs/>
          <w:color w:val="000000"/>
          <w:szCs w:val="24"/>
        </w:rPr>
        <w:t>age</w:t>
      </w:r>
    </w:p>
    <w:p>
      <w:pPr>
        <w:pStyle w:val="style0"/>
        <w:rPr/>
      </w:pPr>
      <w:r>
        <w:t xml:space="preserve">The study presented the </w:t>
      </w:r>
      <w:r>
        <w:rPr>
          <w:rFonts w:eastAsia="Times New Roman"/>
          <w:bCs/>
          <w:color w:val="000000"/>
        </w:rPr>
        <w:t>age</w:t>
      </w:r>
      <w:r>
        <w:t xml:space="preserve"> of parent representatives who participated in the study. Indicating the </w:t>
      </w:r>
      <w:r>
        <w:rPr>
          <w:rFonts w:eastAsia="Times New Roman"/>
          <w:bCs/>
          <w:color w:val="000000"/>
        </w:rPr>
        <w:t>age of t</w:t>
      </w:r>
      <w:r>
        <w:t xml:space="preserve">he respondents was necessary to help measure any substantial relationship between </w:t>
      </w:r>
      <w:r>
        <w:rPr>
          <w:rFonts w:eastAsia="Times New Roman"/>
          <w:bCs/>
          <w:color w:val="000000"/>
        </w:rPr>
        <w:t xml:space="preserve">age </w:t>
      </w:r>
      <w:r>
        <w:t>of parents, social economic factors and pupils’ academic achievement. The results are presented in Table 4.</w:t>
      </w:r>
      <w:r>
        <w:t>5</w:t>
      </w:r>
      <w:r>
        <w:t>.</w:t>
      </w:r>
    </w:p>
    <w:bookmarkStart w:id="137" w:name="_Toc26870057"/>
    <w:bookmarkStart w:id="138" w:name="_Toc144196181"/>
    <w:p>
      <w:pPr>
        <w:pStyle w:val="style4"/>
        <w:spacing w:before="120" w:after="120"/>
        <w:rPr>
          <w:szCs w:val="24"/>
        </w:rPr>
      </w:pPr>
      <w:r>
        <w:rPr>
          <w:szCs w:val="24"/>
        </w:rPr>
        <w:t>Table 4.</w:t>
      </w:r>
      <w:r>
        <w:rPr>
          <w:szCs w:val="24"/>
        </w:rPr>
        <w:t>5</w:t>
      </w:r>
      <w:r>
        <w:rPr>
          <w:szCs w:val="24"/>
        </w:rPr>
        <w:t xml:space="preserve">: </w:t>
      </w:r>
      <w:r>
        <w:t xml:space="preserve">Distribution of parent representatives by </w:t>
      </w:r>
      <w:r>
        <w:rPr>
          <w:rFonts w:eastAsia="Times New Roman"/>
          <w:bCs w:val="false"/>
          <w:color w:val="000000"/>
          <w:szCs w:val="24"/>
        </w:rPr>
        <w:t>age</w:t>
      </w:r>
      <w:bookmarkEnd w:id="137"/>
      <w:bookmarkEnd w:id="138"/>
    </w:p>
    <w:tbl>
      <w:tblPr>
        <w:tblW w:w="5000" w:type="pct"/>
        <w:tblLook w:val="04A0" w:firstRow="1" w:lastRow="0" w:firstColumn="1" w:lastColumn="0" w:noHBand="0" w:noVBand="1"/>
      </w:tblPr>
      <w:tblGrid>
        <w:gridCol w:w="3693"/>
        <w:gridCol w:w="2438"/>
        <w:gridCol w:w="2090"/>
      </w:tblGrid>
      <w:tr>
        <w:trPr>
          <w:trHeight w:val="17" w:hRule="atLeast"/>
        </w:trPr>
        <w:tc>
          <w:tcPr>
            <w:tcW w:w="2246" w:type="pct"/>
            <w:tcBorders>
              <w:top w:val="single" w:sz="4" w:space="0" w:color="auto"/>
              <w:left w:val="nil"/>
              <w:bottom w:val="single" w:sz="4" w:space="0" w:color="auto"/>
              <w:right w:val="nil"/>
            </w:tcBorders>
            <w:noWrap/>
            <w:vAlign w:val="bottom"/>
            <w:hideMark/>
          </w:tcPr>
          <w:p>
            <w:pPr>
              <w:pStyle w:val="style0"/>
              <w:spacing w:before="0" w:lineRule="auto" w:line="240"/>
              <w:jc w:val="left"/>
              <w:rPr>
                <w:rFonts w:cs="Times New Roman" w:eastAsia="Times New Roman"/>
                <w:b/>
                <w:bCs/>
                <w:color w:val="000000"/>
                <w:szCs w:val="24"/>
              </w:rPr>
            </w:pPr>
            <w:r>
              <w:rPr>
                <w:rFonts w:cs="Times New Roman" w:eastAsia="Times New Roman"/>
                <w:b/>
                <w:bCs/>
                <w:color w:val="000000"/>
                <w:szCs w:val="24"/>
              </w:rPr>
              <w:t>Age</w:t>
            </w:r>
          </w:p>
        </w:tc>
        <w:tc>
          <w:tcPr>
            <w:tcW w:w="1483" w:type="pct"/>
            <w:tcBorders>
              <w:top w:val="single" w:sz="4" w:space="0" w:color="auto"/>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Cs w:val="24"/>
              </w:rPr>
            </w:pPr>
            <w:r>
              <w:rPr>
                <w:rFonts w:cs="Times New Roman" w:eastAsia="Times New Roman"/>
                <w:b/>
                <w:bCs/>
                <w:color w:val="000000"/>
                <w:szCs w:val="24"/>
              </w:rPr>
              <w:t>F</w:t>
            </w:r>
          </w:p>
        </w:tc>
        <w:tc>
          <w:tcPr>
            <w:tcW w:w="1271" w:type="pct"/>
            <w:tcBorders>
              <w:top w:val="single" w:sz="4" w:space="0" w:color="auto"/>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Cs w:val="24"/>
              </w:rPr>
            </w:pPr>
            <w:r>
              <w:rPr>
                <w:rFonts w:cs="Times New Roman" w:eastAsia="Times New Roman"/>
                <w:b/>
                <w:bCs/>
                <w:color w:val="000000"/>
                <w:szCs w:val="24"/>
              </w:rPr>
              <w:t>Percent (%)</w:t>
            </w:r>
          </w:p>
        </w:tc>
      </w:tr>
      <w:tr>
        <w:tblPrEx/>
        <w:trPr>
          <w:trHeight w:val="17" w:hRule="atLeast"/>
        </w:trPr>
        <w:tc>
          <w:tcPr>
            <w:tcW w:w="2246" w:type="pct"/>
            <w:tcBorders>
              <w:top w:val="single" w:sz="4" w:space="0" w:color="auto"/>
              <w:left w:val="nil"/>
              <w:bottom w:val="nil"/>
              <w:right w:val="nil"/>
            </w:tcBorders>
            <w:noWrap/>
            <w:vAlign w:val="center"/>
            <w:hideMark/>
          </w:tcPr>
          <w:p>
            <w:pPr>
              <w:pStyle w:val="style0"/>
              <w:autoSpaceDE w:val="false"/>
              <w:autoSpaceDN w:val="false"/>
              <w:adjustRightInd w:val="false"/>
              <w:spacing w:before="0" w:lineRule="auto" w:line="240"/>
              <w:ind w:left="60" w:right="60"/>
              <w:jc w:val="left"/>
              <w:rPr>
                <w:rFonts w:cs="Times New Roman"/>
                <w:color w:val="000000"/>
                <w:szCs w:val="24"/>
              </w:rPr>
            </w:pPr>
            <w:r>
              <w:rPr>
                <w:rFonts w:cs="Times New Roman"/>
                <w:color w:val="000000"/>
                <w:szCs w:val="24"/>
              </w:rPr>
              <w:t>Less than 30 years</w:t>
            </w:r>
          </w:p>
        </w:tc>
        <w:tc>
          <w:tcPr>
            <w:tcW w:w="1483" w:type="pct"/>
            <w:tcBorders>
              <w:top w:val="single" w:sz="4" w:space="0" w:color="auto"/>
              <w:left w:val="nil"/>
              <w:bottom w:val="nil"/>
              <w:right w:val="nil"/>
            </w:tcBorders>
            <w:noWrap/>
            <w:vAlign w:val="center"/>
            <w:hideMark/>
          </w:tcPr>
          <w:p>
            <w:pPr>
              <w:pStyle w:val="style0"/>
              <w:autoSpaceDE w:val="false"/>
              <w:autoSpaceDN w:val="false"/>
              <w:adjustRightInd w:val="false"/>
              <w:spacing w:before="0" w:lineRule="auto" w:line="240"/>
              <w:ind w:left="60" w:right="60"/>
              <w:jc w:val="center"/>
              <w:rPr>
                <w:rFonts w:cs="Times New Roman"/>
                <w:color w:val="000000"/>
                <w:szCs w:val="24"/>
              </w:rPr>
            </w:pPr>
            <w:r>
              <w:rPr>
                <w:rFonts w:cs="Times New Roman"/>
                <w:color w:val="000000"/>
                <w:szCs w:val="24"/>
              </w:rPr>
              <w:t>34</w:t>
            </w:r>
          </w:p>
        </w:tc>
        <w:tc>
          <w:tcPr>
            <w:tcW w:w="1271" w:type="pct"/>
            <w:tcBorders>
              <w:top w:val="single" w:sz="4" w:space="0" w:color="auto"/>
              <w:left w:val="nil"/>
              <w:bottom w:val="nil"/>
              <w:right w:val="nil"/>
            </w:tcBorders>
            <w:noWrap/>
            <w:vAlign w:val="center"/>
            <w:hideMark/>
          </w:tcPr>
          <w:p>
            <w:pPr>
              <w:pStyle w:val="style0"/>
              <w:autoSpaceDE w:val="false"/>
              <w:autoSpaceDN w:val="false"/>
              <w:adjustRightInd w:val="false"/>
              <w:spacing w:before="0" w:lineRule="auto" w:line="240"/>
              <w:ind w:left="60" w:right="60"/>
              <w:jc w:val="center"/>
              <w:rPr>
                <w:rFonts w:cs="Times New Roman"/>
                <w:color w:val="000000"/>
                <w:szCs w:val="24"/>
              </w:rPr>
            </w:pPr>
            <w:r>
              <w:rPr>
                <w:rFonts w:cs="Times New Roman"/>
                <w:color w:val="000000"/>
                <w:szCs w:val="24"/>
              </w:rPr>
              <w:t>18.2</w:t>
            </w:r>
          </w:p>
        </w:tc>
      </w:tr>
      <w:tr>
        <w:tblPrEx/>
        <w:trPr>
          <w:trHeight w:val="17" w:hRule="atLeast"/>
        </w:trPr>
        <w:tc>
          <w:tcPr>
            <w:tcW w:w="2246" w:type="pct"/>
            <w:tcBorders/>
            <w:noWrap/>
            <w:vAlign w:val="center"/>
            <w:hideMark/>
          </w:tcPr>
          <w:p>
            <w:pPr>
              <w:pStyle w:val="style0"/>
              <w:autoSpaceDE w:val="false"/>
              <w:autoSpaceDN w:val="false"/>
              <w:adjustRightInd w:val="false"/>
              <w:spacing w:before="0" w:lineRule="auto" w:line="240"/>
              <w:ind w:left="60" w:right="60"/>
              <w:jc w:val="left"/>
              <w:rPr>
                <w:rFonts w:cs="Times New Roman"/>
                <w:color w:val="000000"/>
                <w:szCs w:val="24"/>
              </w:rPr>
            </w:pPr>
            <w:r>
              <w:rPr>
                <w:rFonts w:cs="Times New Roman"/>
                <w:color w:val="000000"/>
                <w:szCs w:val="24"/>
              </w:rPr>
              <w:t>31-40 years</w:t>
            </w:r>
          </w:p>
        </w:tc>
        <w:tc>
          <w:tcPr>
            <w:tcW w:w="1483" w:type="pct"/>
            <w:tcBorders/>
            <w:noWrap/>
            <w:vAlign w:val="center"/>
            <w:hideMark/>
          </w:tcPr>
          <w:p>
            <w:pPr>
              <w:pStyle w:val="style0"/>
              <w:autoSpaceDE w:val="false"/>
              <w:autoSpaceDN w:val="false"/>
              <w:adjustRightInd w:val="false"/>
              <w:spacing w:before="0" w:lineRule="auto" w:line="240"/>
              <w:ind w:left="60" w:right="60"/>
              <w:jc w:val="center"/>
              <w:rPr>
                <w:rFonts w:cs="Times New Roman"/>
                <w:color w:val="000000"/>
                <w:szCs w:val="24"/>
              </w:rPr>
            </w:pPr>
            <w:r>
              <w:rPr>
                <w:rFonts w:cs="Times New Roman"/>
                <w:color w:val="000000"/>
                <w:szCs w:val="24"/>
              </w:rPr>
              <w:t>52</w:t>
            </w:r>
          </w:p>
        </w:tc>
        <w:tc>
          <w:tcPr>
            <w:tcW w:w="1271" w:type="pct"/>
            <w:tcBorders/>
            <w:noWrap/>
            <w:vAlign w:val="center"/>
            <w:hideMark/>
          </w:tcPr>
          <w:p>
            <w:pPr>
              <w:pStyle w:val="style0"/>
              <w:autoSpaceDE w:val="false"/>
              <w:autoSpaceDN w:val="false"/>
              <w:adjustRightInd w:val="false"/>
              <w:spacing w:before="0" w:lineRule="auto" w:line="240"/>
              <w:ind w:left="60" w:right="60"/>
              <w:jc w:val="center"/>
              <w:rPr>
                <w:rFonts w:cs="Times New Roman"/>
                <w:color w:val="000000"/>
                <w:szCs w:val="24"/>
              </w:rPr>
            </w:pPr>
            <w:r>
              <w:rPr>
                <w:rFonts w:cs="Times New Roman"/>
                <w:color w:val="000000"/>
                <w:szCs w:val="24"/>
              </w:rPr>
              <w:t>27.8</w:t>
            </w:r>
          </w:p>
        </w:tc>
      </w:tr>
      <w:tr>
        <w:tblPrEx/>
        <w:trPr>
          <w:trHeight w:val="17" w:hRule="atLeast"/>
        </w:trPr>
        <w:tc>
          <w:tcPr>
            <w:tcW w:w="2246" w:type="pct"/>
            <w:tcBorders/>
            <w:noWrap/>
            <w:vAlign w:val="center"/>
            <w:hideMark/>
          </w:tcPr>
          <w:p>
            <w:pPr>
              <w:pStyle w:val="style0"/>
              <w:autoSpaceDE w:val="false"/>
              <w:autoSpaceDN w:val="false"/>
              <w:adjustRightInd w:val="false"/>
              <w:spacing w:before="0" w:lineRule="auto" w:line="240"/>
              <w:ind w:left="60" w:right="60"/>
              <w:jc w:val="left"/>
              <w:rPr>
                <w:rFonts w:cs="Times New Roman"/>
                <w:color w:val="000000"/>
                <w:szCs w:val="24"/>
              </w:rPr>
            </w:pPr>
            <w:r>
              <w:rPr>
                <w:rFonts w:cs="Times New Roman"/>
                <w:color w:val="000000"/>
                <w:szCs w:val="24"/>
              </w:rPr>
              <w:t>41-50 years</w:t>
            </w:r>
          </w:p>
        </w:tc>
        <w:tc>
          <w:tcPr>
            <w:tcW w:w="1483" w:type="pct"/>
            <w:tcBorders/>
            <w:noWrap/>
            <w:vAlign w:val="center"/>
            <w:hideMark/>
          </w:tcPr>
          <w:p>
            <w:pPr>
              <w:pStyle w:val="style0"/>
              <w:autoSpaceDE w:val="false"/>
              <w:autoSpaceDN w:val="false"/>
              <w:adjustRightInd w:val="false"/>
              <w:spacing w:before="0" w:lineRule="auto" w:line="240"/>
              <w:ind w:left="60" w:right="60"/>
              <w:jc w:val="center"/>
              <w:rPr>
                <w:rFonts w:cs="Times New Roman"/>
                <w:color w:val="000000"/>
                <w:szCs w:val="24"/>
              </w:rPr>
            </w:pPr>
            <w:r>
              <w:rPr>
                <w:rFonts w:cs="Times New Roman"/>
                <w:color w:val="000000"/>
                <w:szCs w:val="24"/>
              </w:rPr>
              <w:t>72</w:t>
            </w:r>
          </w:p>
        </w:tc>
        <w:tc>
          <w:tcPr>
            <w:tcW w:w="1271" w:type="pct"/>
            <w:tcBorders/>
            <w:noWrap/>
            <w:vAlign w:val="center"/>
            <w:hideMark/>
          </w:tcPr>
          <w:p>
            <w:pPr>
              <w:pStyle w:val="style0"/>
              <w:autoSpaceDE w:val="false"/>
              <w:autoSpaceDN w:val="false"/>
              <w:adjustRightInd w:val="false"/>
              <w:spacing w:before="0" w:lineRule="auto" w:line="240"/>
              <w:ind w:left="60" w:right="60"/>
              <w:jc w:val="center"/>
              <w:rPr>
                <w:rFonts w:cs="Times New Roman"/>
                <w:color w:val="000000"/>
                <w:szCs w:val="24"/>
              </w:rPr>
            </w:pPr>
            <w:r>
              <w:rPr>
                <w:rFonts w:cs="Times New Roman"/>
                <w:color w:val="000000"/>
                <w:szCs w:val="24"/>
              </w:rPr>
              <w:t>38.5</w:t>
            </w:r>
          </w:p>
        </w:tc>
      </w:tr>
      <w:tr>
        <w:tblPrEx/>
        <w:trPr>
          <w:trHeight w:val="17" w:hRule="atLeast"/>
        </w:trPr>
        <w:tc>
          <w:tcPr>
            <w:tcW w:w="2246" w:type="pct"/>
            <w:tcBorders>
              <w:top w:val="nil"/>
              <w:left w:val="nil"/>
              <w:bottom w:val="single" w:sz="4" w:space="0" w:color="auto"/>
              <w:right w:val="nil"/>
            </w:tcBorders>
            <w:noWrap/>
            <w:vAlign w:val="center"/>
            <w:hideMark/>
          </w:tcPr>
          <w:p>
            <w:pPr>
              <w:pStyle w:val="style0"/>
              <w:autoSpaceDE w:val="false"/>
              <w:autoSpaceDN w:val="false"/>
              <w:adjustRightInd w:val="false"/>
              <w:spacing w:before="0" w:lineRule="auto" w:line="240"/>
              <w:ind w:left="60" w:right="60"/>
              <w:jc w:val="left"/>
              <w:rPr>
                <w:rFonts w:cs="Times New Roman"/>
                <w:color w:val="000000"/>
                <w:szCs w:val="24"/>
              </w:rPr>
            </w:pPr>
            <w:r>
              <w:rPr>
                <w:rFonts w:cs="Times New Roman"/>
                <w:color w:val="000000"/>
                <w:szCs w:val="24"/>
              </w:rPr>
              <w:t>51 years and above</w:t>
            </w:r>
          </w:p>
        </w:tc>
        <w:tc>
          <w:tcPr>
            <w:tcW w:w="1483" w:type="pct"/>
            <w:tcBorders>
              <w:top w:val="nil"/>
              <w:left w:val="nil"/>
              <w:bottom w:val="single" w:sz="4" w:space="0" w:color="auto"/>
              <w:right w:val="nil"/>
            </w:tcBorders>
            <w:noWrap/>
            <w:vAlign w:val="center"/>
            <w:hideMark/>
          </w:tcPr>
          <w:p>
            <w:pPr>
              <w:pStyle w:val="style0"/>
              <w:autoSpaceDE w:val="false"/>
              <w:autoSpaceDN w:val="false"/>
              <w:adjustRightInd w:val="false"/>
              <w:spacing w:before="0" w:lineRule="auto" w:line="240"/>
              <w:ind w:left="60" w:right="60"/>
              <w:jc w:val="center"/>
              <w:rPr>
                <w:rFonts w:cs="Times New Roman"/>
                <w:color w:val="000000"/>
                <w:szCs w:val="24"/>
              </w:rPr>
            </w:pPr>
            <w:r>
              <w:rPr>
                <w:rFonts w:cs="Times New Roman"/>
                <w:color w:val="000000"/>
                <w:szCs w:val="24"/>
              </w:rPr>
              <w:t>29</w:t>
            </w:r>
          </w:p>
        </w:tc>
        <w:tc>
          <w:tcPr>
            <w:tcW w:w="1271" w:type="pct"/>
            <w:tcBorders>
              <w:top w:val="nil"/>
              <w:left w:val="nil"/>
              <w:bottom w:val="single" w:sz="4" w:space="0" w:color="auto"/>
              <w:right w:val="nil"/>
            </w:tcBorders>
            <w:noWrap/>
            <w:vAlign w:val="center"/>
            <w:hideMark/>
          </w:tcPr>
          <w:p>
            <w:pPr>
              <w:pStyle w:val="style0"/>
              <w:autoSpaceDE w:val="false"/>
              <w:autoSpaceDN w:val="false"/>
              <w:adjustRightInd w:val="false"/>
              <w:spacing w:before="0" w:lineRule="auto" w:line="240"/>
              <w:ind w:left="60" w:right="60"/>
              <w:jc w:val="center"/>
              <w:rPr>
                <w:rFonts w:cs="Times New Roman"/>
                <w:color w:val="000000"/>
                <w:szCs w:val="24"/>
              </w:rPr>
            </w:pPr>
            <w:r>
              <w:rPr>
                <w:rFonts w:cs="Times New Roman"/>
                <w:color w:val="000000"/>
                <w:szCs w:val="24"/>
              </w:rPr>
              <w:t>15.5</w:t>
            </w:r>
          </w:p>
        </w:tc>
      </w:tr>
      <w:tr>
        <w:tblPrEx/>
        <w:trPr>
          <w:trHeight w:val="17" w:hRule="atLeast"/>
        </w:trPr>
        <w:tc>
          <w:tcPr>
            <w:tcW w:w="2246"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before="0" w:lineRule="auto" w:line="240"/>
              <w:ind w:left="60" w:right="60"/>
              <w:jc w:val="left"/>
              <w:rPr>
                <w:rFonts w:cs="Times New Roman"/>
                <w:b/>
                <w:color w:val="000000"/>
                <w:szCs w:val="24"/>
              </w:rPr>
            </w:pPr>
            <w:r>
              <w:rPr>
                <w:rFonts w:cs="Times New Roman"/>
                <w:b/>
                <w:color w:val="000000"/>
                <w:szCs w:val="24"/>
              </w:rPr>
              <w:t>Total</w:t>
            </w:r>
          </w:p>
        </w:tc>
        <w:tc>
          <w:tcPr>
            <w:tcW w:w="1483"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before="0" w:lineRule="auto" w:line="240"/>
              <w:ind w:left="60" w:right="60"/>
              <w:jc w:val="center"/>
              <w:rPr>
                <w:rFonts w:cs="Times New Roman"/>
                <w:b/>
                <w:color w:val="000000"/>
                <w:szCs w:val="24"/>
              </w:rPr>
            </w:pPr>
            <w:r>
              <w:rPr>
                <w:rFonts w:cs="Times New Roman"/>
                <w:b/>
                <w:color w:val="000000"/>
                <w:szCs w:val="24"/>
              </w:rPr>
              <w:t>187</w:t>
            </w:r>
          </w:p>
        </w:tc>
        <w:tc>
          <w:tcPr>
            <w:tcW w:w="1271"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before="0" w:lineRule="auto" w:line="240"/>
              <w:ind w:left="60" w:right="60"/>
              <w:jc w:val="center"/>
              <w:rPr>
                <w:rFonts w:cs="Times New Roman"/>
                <w:b/>
                <w:color w:val="000000"/>
                <w:szCs w:val="24"/>
              </w:rPr>
            </w:pPr>
            <w:r>
              <w:rPr>
                <w:rFonts w:cs="Times New Roman"/>
                <w:b/>
                <w:color w:val="000000"/>
                <w:szCs w:val="24"/>
              </w:rPr>
              <w:t>100.0</w:t>
            </w:r>
          </w:p>
        </w:tc>
      </w:tr>
    </w:tbl>
    <w:p>
      <w:pPr>
        <w:pStyle w:val="style0"/>
        <w:rPr>
          <w:szCs w:val="24"/>
        </w:rPr>
      </w:pPr>
      <w:r>
        <w:rPr>
          <w:color w:val="000000"/>
          <w:sz w:val="22"/>
        </w:rPr>
        <w:t>Parent representatives</w:t>
      </w:r>
      <w:r>
        <w:rPr>
          <w:color w:val="000000"/>
          <w:sz w:val="22"/>
          <w:vertAlign w:val="subscript"/>
        </w:rPr>
        <w:t xml:space="preserve"> = </w:t>
      </w:r>
      <w:r>
        <w:rPr>
          <w:color w:val="000000"/>
          <w:sz w:val="22"/>
        </w:rPr>
        <w:t xml:space="preserve">187       </w:t>
      </w:r>
    </w:p>
    <w:p>
      <w:pPr>
        <w:pStyle w:val="style0"/>
        <w:rPr/>
      </w:pPr>
      <w:r>
        <w:t xml:space="preserve">Table 4.4 indicates that most parent representatives were aged 31- 50. Most parents were in their middle age and were actively involved in various economic activities, including farming, trading other forms of employment, to meet the needs of their children in school. At this age, parents have more responsibilities, including family feeding and other social responsibilities. However, the influence of parents' age on the </w:t>
      </w:r>
      <w:r>
        <w:t>academic achievement</w:t>
      </w:r>
      <w:r>
        <w:t xml:space="preserve"> of school-going children is not empirically apparent. According to Shields and Hanneke (2008), there is no significant influence on students' academic achievement when it comes to parents' age.</w:t>
      </w:r>
    </w:p>
    <w:p>
      <w:pPr>
        <w:pStyle w:val="style0"/>
        <w:rPr>
          <w:b/>
          <w:bCs/>
        </w:rPr>
      </w:pPr>
      <w:r>
        <w:rPr>
          <w:b/>
          <w:bCs/>
        </w:rPr>
        <w:t>4.3.4 Number of children by p</w:t>
      </w:r>
      <w:r>
        <w:rPr>
          <w:rFonts w:eastAsia="Times New Roman"/>
          <w:b/>
          <w:bCs/>
          <w:color w:val="000000"/>
        </w:rPr>
        <w:t>arent</w:t>
      </w:r>
      <w:r>
        <w:rPr>
          <w:b/>
          <w:bCs/>
        </w:rPr>
        <w:t xml:space="preserve"> representatives</w:t>
      </w:r>
    </w:p>
    <w:p>
      <w:pPr>
        <w:pStyle w:val="style0"/>
        <w:rPr>
          <w:szCs w:val="24"/>
        </w:rPr>
      </w:pPr>
      <w:r>
        <w:rPr>
          <w:szCs w:val="24"/>
        </w:rPr>
        <w:t xml:space="preserve">The study presented the average number of children per household as parent representatives indicated. The number of children in a household can significantly influence an individual </w:t>
      </w:r>
      <w:r>
        <w:rPr>
          <w:szCs w:val="24"/>
        </w:rPr>
        <w:t>pupils’</w:t>
      </w:r>
      <w:r>
        <w:rPr>
          <w:szCs w:val="24"/>
        </w:rPr>
        <w:t xml:space="preserve"> academic achievement. The results are demonstrated in Table 4.</w:t>
      </w:r>
      <w:r>
        <w:rPr>
          <w:szCs w:val="24"/>
        </w:rPr>
        <w:t>6</w:t>
      </w:r>
      <w:r>
        <w:rPr>
          <w:szCs w:val="24"/>
        </w:rPr>
        <w:t>.</w:t>
      </w:r>
    </w:p>
    <w:bookmarkStart w:id="139" w:name="_Toc144196182"/>
    <w:p>
      <w:pPr>
        <w:pStyle w:val="style4"/>
        <w:spacing w:before="120" w:after="120"/>
        <w:rPr/>
      </w:pPr>
      <w:r>
        <w:t>Table 4.</w:t>
      </w:r>
      <w:r>
        <w:t>6</w:t>
      </w:r>
      <w:r>
        <w:t>: Number of children by parent representatives</w:t>
      </w:r>
      <w:bookmarkEnd w:id="139"/>
    </w:p>
    <w:tbl>
      <w:tblPr>
        <w:tblW w:w="5000" w:type="pct"/>
        <w:tblLook w:val="04A0" w:firstRow="1" w:lastRow="0" w:firstColumn="1" w:lastColumn="0" w:noHBand="0" w:noVBand="1"/>
      </w:tblPr>
      <w:tblGrid>
        <w:gridCol w:w="3693"/>
        <w:gridCol w:w="2438"/>
        <w:gridCol w:w="2090"/>
      </w:tblGrid>
      <w:tr>
        <w:trPr>
          <w:trHeight w:val="17" w:hRule="atLeast"/>
        </w:trPr>
        <w:tc>
          <w:tcPr>
            <w:tcW w:w="2246" w:type="pct"/>
            <w:tcBorders>
              <w:top w:val="single" w:sz="4" w:space="0" w:color="auto"/>
              <w:left w:val="nil"/>
              <w:bottom w:val="single" w:sz="4" w:space="0" w:color="auto"/>
              <w:right w:val="nil"/>
            </w:tcBorders>
            <w:noWrap/>
            <w:vAlign w:val="bottom"/>
            <w:hideMark/>
          </w:tcPr>
          <w:p>
            <w:pPr>
              <w:pStyle w:val="style0"/>
              <w:spacing w:lineRule="auto" w:line="240"/>
              <w:jc w:val="left"/>
              <w:rPr>
                <w:rFonts w:cs="Times New Roman" w:eastAsia="Times New Roman"/>
                <w:b/>
                <w:bCs/>
                <w:color w:val="000000"/>
                <w:szCs w:val="24"/>
              </w:rPr>
            </w:pPr>
            <w:r>
              <w:rPr>
                <w:rFonts w:cs="Times New Roman" w:eastAsia="Times New Roman"/>
                <w:b/>
                <w:bCs/>
                <w:color w:val="000000"/>
                <w:szCs w:val="24"/>
              </w:rPr>
              <w:t>Number of children</w:t>
            </w:r>
          </w:p>
        </w:tc>
        <w:tc>
          <w:tcPr>
            <w:tcW w:w="1483" w:type="pct"/>
            <w:tcBorders>
              <w:top w:val="single" w:sz="4" w:space="0" w:color="auto"/>
              <w:left w:val="nil"/>
              <w:bottom w:val="single" w:sz="4" w:space="0" w:color="auto"/>
              <w:right w:val="nil"/>
            </w:tcBorders>
            <w:noWrap/>
            <w:vAlign w:val="bottom"/>
            <w:hideMark/>
          </w:tcPr>
          <w:p>
            <w:pPr>
              <w:pStyle w:val="style0"/>
              <w:spacing w:lineRule="auto" w:line="240"/>
              <w:jc w:val="center"/>
              <w:rPr>
                <w:rFonts w:cs="Times New Roman" w:eastAsia="Times New Roman"/>
                <w:color w:val="000000"/>
                <w:szCs w:val="24"/>
              </w:rPr>
            </w:pPr>
            <w:r>
              <w:rPr>
                <w:rFonts w:cs="Times New Roman" w:eastAsia="Times New Roman"/>
                <w:b/>
                <w:bCs/>
                <w:color w:val="000000"/>
                <w:szCs w:val="24"/>
              </w:rPr>
              <w:t>F</w:t>
            </w:r>
          </w:p>
        </w:tc>
        <w:tc>
          <w:tcPr>
            <w:tcW w:w="1271" w:type="pct"/>
            <w:tcBorders>
              <w:top w:val="single" w:sz="4" w:space="0" w:color="auto"/>
              <w:left w:val="nil"/>
              <w:bottom w:val="single" w:sz="4" w:space="0" w:color="auto"/>
              <w:right w:val="nil"/>
            </w:tcBorders>
            <w:noWrap/>
            <w:vAlign w:val="bottom"/>
            <w:hideMark/>
          </w:tcPr>
          <w:p>
            <w:pPr>
              <w:pStyle w:val="style0"/>
              <w:spacing w:lineRule="auto" w:line="240"/>
              <w:jc w:val="center"/>
              <w:rPr>
                <w:rFonts w:cs="Times New Roman" w:eastAsia="Times New Roman"/>
                <w:color w:val="000000"/>
                <w:szCs w:val="24"/>
              </w:rPr>
            </w:pPr>
            <w:r>
              <w:rPr>
                <w:rFonts w:cs="Times New Roman" w:eastAsia="Times New Roman"/>
                <w:b/>
                <w:bCs/>
                <w:color w:val="000000"/>
                <w:szCs w:val="24"/>
              </w:rPr>
              <w:t>Percent (%)</w:t>
            </w:r>
          </w:p>
        </w:tc>
      </w:tr>
      <w:tr>
        <w:tblPrEx/>
        <w:trPr>
          <w:trHeight w:val="17" w:hRule="atLeast"/>
        </w:trPr>
        <w:tc>
          <w:tcPr>
            <w:tcW w:w="2246" w:type="pct"/>
            <w:tcBorders>
              <w:top w:val="single" w:sz="4" w:space="0" w:color="auto"/>
              <w:left w:val="nil"/>
              <w:bottom w:val="nil"/>
              <w:right w:val="nil"/>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0-2 children</w:t>
            </w:r>
          </w:p>
        </w:tc>
        <w:tc>
          <w:tcPr>
            <w:tcW w:w="1483" w:type="pct"/>
            <w:tcBorders>
              <w:top w:val="single" w:sz="4" w:space="0" w:color="auto"/>
              <w:left w:val="nil"/>
              <w:bottom w:val="nil"/>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37</w:t>
            </w:r>
          </w:p>
        </w:tc>
        <w:tc>
          <w:tcPr>
            <w:tcW w:w="1271" w:type="pct"/>
            <w:tcBorders>
              <w:top w:val="single" w:sz="4" w:space="0" w:color="auto"/>
              <w:left w:val="nil"/>
              <w:bottom w:val="nil"/>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19.8</w:t>
            </w:r>
          </w:p>
        </w:tc>
      </w:tr>
      <w:tr>
        <w:tblPrEx/>
        <w:trPr>
          <w:trHeight w:val="17" w:hRule="atLeast"/>
        </w:trPr>
        <w:tc>
          <w:tcPr>
            <w:tcW w:w="2246"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2-5 children</w:t>
            </w:r>
          </w:p>
        </w:tc>
        <w:tc>
          <w:tcPr>
            <w:tcW w:w="1483"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58</w:t>
            </w:r>
          </w:p>
        </w:tc>
        <w:tc>
          <w:tcPr>
            <w:tcW w:w="12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31.0</w:t>
            </w:r>
          </w:p>
        </w:tc>
      </w:tr>
      <w:tr>
        <w:tblPrEx/>
        <w:trPr>
          <w:trHeight w:val="17" w:hRule="atLeast"/>
        </w:trPr>
        <w:tc>
          <w:tcPr>
            <w:tcW w:w="2246"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6-10 Children</w:t>
            </w:r>
          </w:p>
        </w:tc>
        <w:tc>
          <w:tcPr>
            <w:tcW w:w="1483"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66</w:t>
            </w:r>
          </w:p>
        </w:tc>
        <w:tc>
          <w:tcPr>
            <w:tcW w:w="12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35.3</w:t>
            </w:r>
          </w:p>
        </w:tc>
      </w:tr>
      <w:tr>
        <w:tblPrEx/>
        <w:trPr>
          <w:trHeight w:val="17" w:hRule="atLeast"/>
        </w:trPr>
        <w:tc>
          <w:tcPr>
            <w:tcW w:w="2246"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More than 10 children</w:t>
            </w:r>
          </w:p>
        </w:tc>
        <w:tc>
          <w:tcPr>
            <w:tcW w:w="1483"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26</w:t>
            </w:r>
          </w:p>
        </w:tc>
        <w:tc>
          <w:tcPr>
            <w:tcW w:w="1271"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13.9</w:t>
            </w:r>
          </w:p>
        </w:tc>
      </w:tr>
      <w:tr>
        <w:tblPrEx/>
        <w:trPr>
          <w:trHeight w:val="17" w:hRule="atLeast"/>
        </w:trPr>
        <w:tc>
          <w:tcPr>
            <w:tcW w:w="2246"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left"/>
              <w:rPr>
                <w:rFonts w:cs="Times New Roman"/>
                <w:b/>
                <w:color w:val="000000"/>
                <w:szCs w:val="24"/>
              </w:rPr>
            </w:pPr>
            <w:r>
              <w:rPr>
                <w:rFonts w:cs="Times New Roman"/>
                <w:b/>
                <w:color w:val="000000"/>
                <w:szCs w:val="24"/>
              </w:rPr>
              <w:t>Total</w:t>
            </w:r>
          </w:p>
        </w:tc>
        <w:tc>
          <w:tcPr>
            <w:tcW w:w="1483"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b/>
                <w:color w:val="000000"/>
                <w:szCs w:val="24"/>
              </w:rPr>
            </w:pPr>
            <w:r>
              <w:rPr>
                <w:rFonts w:cs="Times New Roman"/>
                <w:b/>
                <w:color w:val="000000"/>
                <w:szCs w:val="24"/>
              </w:rPr>
              <w:t>187</w:t>
            </w:r>
          </w:p>
        </w:tc>
        <w:tc>
          <w:tcPr>
            <w:tcW w:w="1271"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b/>
                <w:color w:val="000000"/>
                <w:szCs w:val="24"/>
              </w:rPr>
            </w:pPr>
            <w:r>
              <w:rPr>
                <w:rFonts w:cs="Times New Roman"/>
                <w:b/>
                <w:color w:val="000000"/>
                <w:szCs w:val="24"/>
              </w:rPr>
              <w:t>100.0</w:t>
            </w:r>
          </w:p>
        </w:tc>
      </w:tr>
    </w:tbl>
    <w:p>
      <w:pPr>
        <w:pStyle w:val="style0"/>
        <w:rPr>
          <w:color w:val="000000"/>
          <w:sz w:val="22"/>
        </w:rPr>
      </w:pPr>
      <w:r>
        <w:rPr>
          <w:color w:val="000000"/>
          <w:sz w:val="22"/>
        </w:rPr>
        <w:t>Parent representatives</w:t>
      </w:r>
      <w:r>
        <w:rPr>
          <w:color w:val="000000"/>
          <w:sz w:val="22"/>
          <w:vertAlign w:val="subscript"/>
        </w:rPr>
        <w:t xml:space="preserve"> = </w:t>
      </w:r>
      <w:r>
        <w:rPr>
          <w:color w:val="000000"/>
          <w:sz w:val="22"/>
        </w:rPr>
        <w:t xml:space="preserve">187      </w:t>
      </w:r>
    </w:p>
    <w:p>
      <w:pPr>
        <w:pStyle w:val="style0"/>
        <w:rPr>
          <w:rFonts w:cs="Times New Roman"/>
          <w:szCs w:val="24"/>
        </w:rPr>
      </w:pPr>
      <w:r>
        <w:rPr>
          <w:rFonts w:cs="Times New Roman"/>
          <w:szCs w:val="24"/>
        </w:rPr>
        <w:t>Table 4.</w:t>
      </w:r>
      <w:r>
        <w:rPr>
          <w:rFonts w:cs="Times New Roman"/>
          <w:szCs w:val="24"/>
        </w:rPr>
        <w:t>6</w:t>
      </w:r>
      <w:r>
        <w:rPr>
          <w:rFonts w:cs="Times New Roman"/>
          <w:szCs w:val="24"/>
        </w:rPr>
        <w:t xml:space="preserve"> indicates that the majority of the parents had number children between 2-10 children. The bigger the family, the greater the drain on available resources, and the educational chances of each child are significantly limited. Large families with more children may find it challenging to provide food, shelter, and clothing, pay fees, acquire stationary, pay for tours, and pay remedial fees for all their schooling children. Students from smaller family sizes may perform academically better academically than those from larger family sizes. Students from households with fewer children are likely to receive more parental attention and access to resources than families with many children. Ogweno, </w:t>
      </w:r>
      <w:r>
        <w:rPr>
          <w:rFonts w:cs="Times New Roman"/>
          <w:szCs w:val="24"/>
        </w:rPr>
        <w:t>Kathuri</w:t>
      </w:r>
      <w:r>
        <w:rPr>
          <w:rFonts w:cs="Times New Roman"/>
          <w:szCs w:val="24"/>
        </w:rPr>
        <w:t>, and Obara (</w:t>
      </w:r>
      <w:r>
        <w:rPr>
          <w:rFonts w:cs="Times New Roman"/>
          <w:szCs w:val="24"/>
        </w:rPr>
        <w:t>2020</w:t>
      </w:r>
      <w:r>
        <w:rPr>
          <w:rFonts w:cs="Times New Roman"/>
          <w:szCs w:val="24"/>
        </w:rPr>
        <w:t xml:space="preserve">) identify that family size has a negative </w:t>
      </w:r>
      <w:r>
        <w:rPr>
          <w:rFonts w:cs="Times New Roman"/>
          <w:szCs w:val="24"/>
        </w:rPr>
        <w:t xml:space="preserve">relationship with the </w:t>
      </w:r>
      <w:r>
        <w:rPr>
          <w:rFonts w:cs="Times New Roman"/>
          <w:szCs w:val="24"/>
        </w:rPr>
        <w:t>academic achievement</w:t>
      </w:r>
      <w:r>
        <w:rPr>
          <w:rFonts w:cs="Times New Roman"/>
          <w:szCs w:val="24"/>
        </w:rPr>
        <w:t xml:space="preserve"> of school-going children. The results also agree with Ella, </w:t>
      </w:r>
      <w:r>
        <w:rPr>
          <w:rFonts w:cs="Times New Roman"/>
          <w:szCs w:val="24"/>
        </w:rPr>
        <w:t>Odok</w:t>
      </w:r>
      <w:r>
        <w:rPr>
          <w:rFonts w:cs="Times New Roman"/>
          <w:szCs w:val="24"/>
        </w:rPr>
        <w:t>, and Ella (</w:t>
      </w:r>
      <w:r>
        <w:rPr>
          <w:rFonts w:cs="Times New Roman"/>
          <w:szCs w:val="24"/>
        </w:rPr>
        <w:t>2021</w:t>
      </w:r>
      <w:r>
        <w:rPr>
          <w:rFonts w:cs="Times New Roman"/>
          <w:szCs w:val="24"/>
        </w:rPr>
        <w:t xml:space="preserve">) that family size negatively influences learners' </w:t>
      </w:r>
      <w:r>
        <w:rPr>
          <w:rFonts w:cs="Times New Roman"/>
          <w:szCs w:val="24"/>
        </w:rPr>
        <w:t>academic achievement</w:t>
      </w:r>
      <w:r>
        <w:rPr>
          <w:rFonts w:cs="Times New Roman"/>
          <w:szCs w:val="24"/>
        </w:rPr>
        <w:t>.</w:t>
      </w:r>
    </w:p>
    <w:p>
      <w:pPr>
        <w:pStyle w:val="style0"/>
        <w:rPr>
          <w:b/>
          <w:bCs/>
        </w:rPr>
      </w:pPr>
      <w:r>
        <w:rPr>
          <w:b/>
          <w:bCs/>
        </w:rPr>
        <w:t>4.3.5 P</w:t>
      </w:r>
      <w:r>
        <w:rPr>
          <w:rFonts w:eastAsia="Times New Roman"/>
          <w:b/>
          <w:bCs/>
        </w:rPr>
        <w:t>arent</w:t>
      </w:r>
      <w:r>
        <w:rPr>
          <w:b/>
          <w:bCs/>
        </w:rPr>
        <w:t>s’ size of household income per month</w:t>
      </w:r>
    </w:p>
    <w:p>
      <w:pPr>
        <w:pStyle w:val="style0"/>
        <w:rPr/>
      </w:pPr>
      <w:r>
        <w:t>The study presented parental size of monthly income. Parental size of income influences parents’ ability to meet school requirement including paying fees, buying stationery and other academic requirements. The results are illustrated in Table 4.</w:t>
      </w:r>
      <w:r>
        <w:t>7</w:t>
      </w:r>
      <w:r>
        <w:t>.</w:t>
      </w:r>
    </w:p>
    <w:bookmarkStart w:id="140" w:name="_Toc144196183"/>
    <w:p>
      <w:pPr>
        <w:pStyle w:val="style4"/>
        <w:spacing w:before="120" w:after="120"/>
        <w:rPr/>
      </w:pPr>
      <w:r>
        <w:t>Table 4.</w:t>
      </w:r>
      <w:r>
        <w:t>7</w:t>
      </w:r>
      <w:r>
        <w:t>: Parents’ size of household income per month</w:t>
      </w:r>
      <w:bookmarkEnd w:id="140"/>
    </w:p>
    <w:tbl>
      <w:tblPr>
        <w:tblW w:w="5000" w:type="pct"/>
        <w:tblLook w:val="04A0" w:firstRow="1" w:lastRow="0" w:firstColumn="1" w:lastColumn="0" w:noHBand="0" w:noVBand="1"/>
      </w:tblPr>
      <w:tblGrid>
        <w:gridCol w:w="4803"/>
        <w:gridCol w:w="1883"/>
        <w:gridCol w:w="1535"/>
      </w:tblGrid>
      <w:tr>
        <w:trPr>
          <w:trHeight w:val="17" w:hRule="atLeast"/>
        </w:trPr>
        <w:tc>
          <w:tcPr>
            <w:tcW w:w="2246" w:type="pct"/>
            <w:tcBorders>
              <w:top w:val="single" w:sz="4" w:space="0" w:color="auto"/>
              <w:left w:val="nil"/>
              <w:bottom w:val="nil"/>
              <w:right w:val="nil"/>
            </w:tcBorders>
            <w:noWrap/>
            <w:vAlign w:val="bottom"/>
            <w:hideMark/>
          </w:tcPr>
          <w:p>
            <w:pPr>
              <w:pStyle w:val="style0"/>
              <w:spacing w:lineRule="auto" w:line="240"/>
              <w:jc w:val="left"/>
              <w:rPr>
                <w:rFonts w:cs="Times New Roman" w:eastAsia="Times New Roman"/>
                <w:b/>
                <w:bCs/>
                <w:color w:val="000000"/>
                <w:szCs w:val="24"/>
              </w:rPr>
            </w:pPr>
            <w:r>
              <w:rPr>
                <w:rFonts w:cs="Times New Roman"/>
                <w:b/>
                <w:szCs w:val="24"/>
              </w:rPr>
              <w:t>P</w:t>
            </w:r>
            <w:r>
              <w:rPr>
                <w:rFonts w:cs="Times New Roman" w:eastAsia="Times New Roman"/>
                <w:b/>
                <w:bCs/>
                <w:color w:val="000000"/>
                <w:szCs w:val="24"/>
              </w:rPr>
              <w:t>arent</w:t>
            </w:r>
            <w:r>
              <w:rPr>
                <w:rFonts w:cs="Times New Roman"/>
                <w:b/>
                <w:szCs w:val="24"/>
              </w:rPr>
              <w:t>s’</w:t>
            </w:r>
            <w:r>
              <w:rPr>
                <w:rFonts w:cs="Times New Roman"/>
                <w:b/>
                <w:bCs/>
                <w:color w:val="000000"/>
                <w:szCs w:val="24"/>
              </w:rPr>
              <w:t xml:space="preserve"> size of household income per month</w:t>
            </w:r>
          </w:p>
        </w:tc>
        <w:tc>
          <w:tcPr>
            <w:tcW w:w="1483" w:type="pct"/>
            <w:tcBorders>
              <w:top w:val="single" w:sz="4" w:space="0" w:color="auto"/>
              <w:left w:val="nil"/>
              <w:bottom w:val="nil"/>
              <w:right w:val="nil"/>
            </w:tcBorders>
            <w:noWrap/>
            <w:vAlign w:val="bottom"/>
            <w:hideMark/>
          </w:tcPr>
          <w:p>
            <w:pPr>
              <w:pStyle w:val="style0"/>
              <w:spacing w:lineRule="auto" w:line="240"/>
              <w:jc w:val="center"/>
              <w:rPr>
                <w:rFonts w:cs="Times New Roman" w:eastAsia="Times New Roman"/>
                <w:color w:val="000000"/>
                <w:szCs w:val="24"/>
              </w:rPr>
            </w:pPr>
            <w:r>
              <w:rPr>
                <w:rFonts w:cs="Times New Roman" w:eastAsia="Times New Roman"/>
                <w:b/>
                <w:bCs/>
                <w:color w:val="000000"/>
                <w:szCs w:val="24"/>
              </w:rPr>
              <w:t>f</w:t>
            </w:r>
          </w:p>
        </w:tc>
        <w:tc>
          <w:tcPr>
            <w:tcW w:w="1271" w:type="pct"/>
            <w:tcBorders>
              <w:top w:val="single" w:sz="4" w:space="0" w:color="auto"/>
              <w:left w:val="nil"/>
              <w:bottom w:val="nil"/>
              <w:right w:val="nil"/>
            </w:tcBorders>
            <w:noWrap/>
            <w:vAlign w:val="bottom"/>
            <w:hideMark/>
          </w:tcPr>
          <w:p>
            <w:pPr>
              <w:pStyle w:val="style0"/>
              <w:spacing w:lineRule="auto" w:line="240"/>
              <w:jc w:val="center"/>
              <w:rPr>
                <w:rFonts w:cs="Times New Roman" w:eastAsia="Times New Roman"/>
                <w:color w:val="000000"/>
                <w:szCs w:val="24"/>
              </w:rPr>
            </w:pPr>
            <w:r>
              <w:rPr>
                <w:rFonts w:cs="Times New Roman" w:eastAsia="Times New Roman"/>
                <w:b/>
                <w:bCs/>
                <w:color w:val="000000"/>
                <w:szCs w:val="24"/>
              </w:rPr>
              <w:t>Percent (%)</w:t>
            </w:r>
          </w:p>
        </w:tc>
      </w:tr>
      <w:tr>
        <w:tblPrEx/>
        <w:trPr>
          <w:trHeight w:val="17" w:hRule="atLeast"/>
        </w:trPr>
        <w:tc>
          <w:tcPr>
            <w:tcW w:w="2246"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Less than Ksh5000</w:t>
            </w:r>
          </w:p>
        </w:tc>
        <w:tc>
          <w:tcPr>
            <w:tcW w:w="1483"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23</w:t>
            </w:r>
          </w:p>
        </w:tc>
        <w:tc>
          <w:tcPr>
            <w:tcW w:w="12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12.3</w:t>
            </w:r>
          </w:p>
        </w:tc>
      </w:tr>
      <w:tr>
        <w:tblPrEx/>
        <w:trPr>
          <w:trHeight w:val="17" w:hRule="atLeast"/>
        </w:trPr>
        <w:tc>
          <w:tcPr>
            <w:tcW w:w="2246"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Kash5001-10000</w:t>
            </w:r>
          </w:p>
        </w:tc>
        <w:tc>
          <w:tcPr>
            <w:tcW w:w="1483"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33</w:t>
            </w:r>
          </w:p>
        </w:tc>
        <w:tc>
          <w:tcPr>
            <w:tcW w:w="12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17.6</w:t>
            </w:r>
          </w:p>
        </w:tc>
      </w:tr>
      <w:tr>
        <w:tblPrEx/>
        <w:trPr>
          <w:trHeight w:val="17" w:hRule="atLeast"/>
        </w:trPr>
        <w:tc>
          <w:tcPr>
            <w:tcW w:w="2246"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Ksh10001-20000</w:t>
            </w:r>
          </w:p>
        </w:tc>
        <w:tc>
          <w:tcPr>
            <w:tcW w:w="1483"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66</w:t>
            </w:r>
          </w:p>
        </w:tc>
        <w:tc>
          <w:tcPr>
            <w:tcW w:w="12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35.3</w:t>
            </w:r>
          </w:p>
        </w:tc>
      </w:tr>
      <w:tr>
        <w:tblPrEx/>
        <w:trPr>
          <w:trHeight w:val="17" w:hRule="atLeast"/>
        </w:trPr>
        <w:tc>
          <w:tcPr>
            <w:tcW w:w="2246" w:type="pct"/>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Ksh20001-30000</w:t>
            </w:r>
          </w:p>
        </w:tc>
        <w:tc>
          <w:tcPr>
            <w:tcW w:w="1483"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37</w:t>
            </w:r>
          </w:p>
        </w:tc>
        <w:tc>
          <w:tcPr>
            <w:tcW w:w="1271"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19.8</w:t>
            </w:r>
          </w:p>
        </w:tc>
      </w:tr>
      <w:tr>
        <w:tblPrEx/>
        <w:trPr>
          <w:trHeight w:val="17" w:hRule="atLeast"/>
        </w:trPr>
        <w:tc>
          <w:tcPr>
            <w:tcW w:w="2246"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left"/>
              <w:rPr>
                <w:rFonts w:cs="Times New Roman"/>
                <w:color w:val="000000"/>
                <w:szCs w:val="24"/>
              </w:rPr>
            </w:pPr>
            <w:r>
              <w:rPr>
                <w:rFonts w:cs="Times New Roman"/>
                <w:color w:val="000000"/>
                <w:szCs w:val="24"/>
              </w:rPr>
              <w:t>More than Ksh30000</w:t>
            </w:r>
          </w:p>
        </w:tc>
        <w:tc>
          <w:tcPr>
            <w:tcW w:w="1483"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28</w:t>
            </w:r>
          </w:p>
        </w:tc>
        <w:tc>
          <w:tcPr>
            <w:tcW w:w="1271"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15.0</w:t>
            </w:r>
          </w:p>
        </w:tc>
      </w:tr>
      <w:tr>
        <w:tblPrEx/>
        <w:trPr>
          <w:trHeight w:val="17" w:hRule="atLeast"/>
        </w:trPr>
        <w:tc>
          <w:tcPr>
            <w:tcW w:w="2246"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left"/>
              <w:rPr>
                <w:rFonts w:cs="Times New Roman"/>
                <w:b/>
                <w:color w:val="000000"/>
                <w:szCs w:val="24"/>
              </w:rPr>
            </w:pPr>
            <w:r>
              <w:rPr>
                <w:rFonts w:cs="Times New Roman"/>
                <w:b/>
                <w:color w:val="000000"/>
                <w:szCs w:val="24"/>
              </w:rPr>
              <w:t>Total</w:t>
            </w:r>
          </w:p>
        </w:tc>
        <w:tc>
          <w:tcPr>
            <w:tcW w:w="1483"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b/>
                <w:color w:val="000000"/>
                <w:szCs w:val="24"/>
              </w:rPr>
            </w:pPr>
            <w:r>
              <w:rPr>
                <w:rFonts w:cs="Times New Roman"/>
                <w:b/>
                <w:color w:val="000000"/>
                <w:szCs w:val="24"/>
              </w:rPr>
              <w:t>187</w:t>
            </w:r>
          </w:p>
        </w:tc>
        <w:tc>
          <w:tcPr>
            <w:tcW w:w="1271" w:type="pct"/>
            <w:tcBorders>
              <w:top w:val="single" w:sz="4" w:space="0" w:color="auto"/>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b/>
                <w:color w:val="000000"/>
                <w:szCs w:val="24"/>
              </w:rPr>
            </w:pPr>
            <w:r>
              <w:rPr>
                <w:rFonts w:cs="Times New Roman"/>
                <w:b/>
                <w:color w:val="000000"/>
                <w:szCs w:val="24"/>
              </w:rPr>
              <w:t>100.0</w:t>
            </w:r>
          </w:p>
        </w:tc>
      </w:tr>
    </w:tbl>
    <w:p>
      <w:pPr>
        <w:pStyle w:val="style0"/>
        <w:rPr>
          <w:color w:val="000000"/>
          <w:sz w:val="22"/>
        </w:rPr>
      </w:pPr>
      <w:r>
        <w:rPr>
          <w:color w:val="000000"/>
          <w:sz w:val="22"/>
        </w:rPr>
        <w:t>Parent representatives</w:t>
      </w:r>
      <w:r>
        <w:rPr>
          <w:color w:val="000000"/>
          <w:sz w:val="22"/>
          <w:vertAlign w:val="subscript"/>
        </w:rPr>
        <w:t xml:space="preserve"> = </w:t>
      </w:r>
      <w:r>
        <w:rPr>
          <w:color w:val="000000"/>
          <w:sz w:val="22"/>
        </w:rPr>
        <w:t xml:space="preserve">187      </w:t>
      </w:r>
    </w:p>
    <w:bookmarkStart w:id="141" w:name="_Toc26870062"/>
    <w:p>
      <w:pPr>
        <w:pStyle w:val="style0"/>
        <w:rPr/>
      </w:pPr>
      <w:r>
        <w:t>Table 4.</w:t>
      </w:r>
      <w:r>
        <w:t>7</w:t>
      </w:r>
      <w:r>
        <w:t xml:space="preserve"> indicates that most parents’ representatives had a monthly income of Ksh10001-20000. In most households, the size of income may not be sufficient to meet basic family needs and school requirements like buying stationary, academic tours, remedial classes, and school fees. The family’s inability to cater to their children’s school needs may negatively influence their children’s academic progress and performance. Parents must find ways to balance the little income between households’ needs and school needs. A financially stable family will give more, especially regarding educational resources. For lower-income families, parents will bustle around for life and expect little from their children. For this reason, they may put subsistence before their children’s education. However, in most cases where family income does have a significant influence on the children’s education level, the governments can subsidize the low-income family to promote their children’s educational conditions, which will help narrow the gap between the different social groups in a bigger picture. The results agree with Lin (</w:t>
      </w:r>
      <w:r>
        <w:t>2021</w:t>
      </w:r>
      <w:r>
        <w:t xml:space="preserve">) that family income will significantly impact the </w:t>
      </w:r>
      <w:r>
        <w:t>children’s education level, and an increase in family income can help improve their education level.</w:t>
      </w:r>
    </w:p>
    <w:p>
      <w:pPr>
        <w:pStyle w:val="style0"/>
        <w:rPr/>
      </w:pPr>
      <w:r>
        <w:t xml:space="preserve">However, a study on the impact of parental level of income on students’ </w:t>
      </w:r>
      <w:r>
        <w:t>academic achievement</w:t>
      </w:r>
      <w:r>
        <w:t xml:space="preserve"> in a high school in Japan indicated that outstanding academic achievement for a student is attained by those who are from financially buoyant families. Further, parents were asked to respond on what they could do with their income level. The responses were rated on a five-point Likert scale (1 – never, 2 – very few times, 3 – few times, 4 – sometimes, and 5 – all times). The results of what they can do with their income level are demonstrated in Table 4.</w:t>
      </w:r>
      <w:r>
        <w:t>8</w:t>
      </w:r>
    </w:p>
    <w:bookmarkStart w:id="142" w:name="_Toc144196184"/>
    <w:p>
      <w:pPr>
        <w:pStyle w:val="style4"/>
        <w:spacing w:before="120" w:after="120" w:lineRule="auto" w:line="240"/>
        <w:rPr>
          <w:color w:val="000000"/>
          <w:sz w:val="22"/>
        </w:rPr>
      </w:pPr>
      <w:r>
        <w:t>Table 4.</w:t>
      </w:r>
      <w:r>
        <w:t>8</w:t>
      </w:r>
      <w:r>
        <w:t xml:space="preserve">: </w:t>
      </w:r>
      <w:bookmarkEnd w:id="141"/>
      <w:r>
        <w:rPr>
          <w:rFonts w:cs="Times New Roman" w:eastAsia="Times New Roman"/>
          <w:color w:val="000000"/>
          <w:sz w:val="22"/>
        </w:rPr>
        <w:t>Parents level of income and what it can do</w:t>
      </w:r>
      <w:bookmarkEnd w:id="142"/>
    </w:p>
    <w:tbl>
      <w:tblPr>
        <w:tblW w:w="5000" w:type="pct"/>
        <w:tblLayout w:type="fixed"/>
        <w:tblLook w:val="04A0" w:firstRow="1" w:lastRow="0" w:firstColumn="1" w:lastColumn="0" w:noHBand="0" w:noVBand="1"/>
      </w:tblPr>
      <w:tblGrid>
        <w:gridCol w:w="2268"/>
        <w:gridCol w:w="850"/>
        <w:gridCol w:w="852"/>
        <w:gridCol w:w="852"/>
        <w:gridCol w:w="1278"/>
        <w:gridCol w:w="875"/>
        <w:gridCol w:w="738"/>
        <w:gridCol w:w="508"/>
      </w:tblGrid>
      <w:tr>
        <w:trPr>
          <w:trHeight w:val="300" w:hRule="atLeast"/>
        </w:trPr>
        <w:tc>
          <w:tcPr>
            <w:tcW w:w="1379" w:type="pct"/>
            <w:tcBorders>
              <w:top w:val="single" w:sz="4" w:space="0" w:color="auto"/>
              <w:left w:val="nil"/>
              <w:bottom w:val="single" w:sz="4" w:space="0" w:color="auto"/>
              <w:right w:val="nil"/>
            </w:tcBorders>
            <w:noWrap/>
            <w:vAlign w:val="bottom"/>
            <w:hideMark/>
          </w:tcPr>
          <w:p>
            <w:pPr>
              <w:pStyle w:val="style0"/>
              <w:spacing w:before="0" w:lineRule="auto" w:line="240"/>
              <w:jc w:val="left"/>
              <w:rPr>
                <w:rFonts w:cs="Times New Roman" w:eastAsia="Times New Roman"/>
                <w:color w:val="000000"/>
                <w:sz w:val="22"/>
              </w:rPr>
            </w:pPr>
            <w:r>
              <w:rPr>
                <w:rFonts w:cs="Times New Roman" w:eastAsia="Times New Roman"/>
                <w:color w:val="000000"/>
                <w:sz w:val="22"/>
              </w:rPr>
              <w:t>Parents level of income</w:t>
            </w:r>
          </w:p>
        </w:tc>
        <w:tc>
          <w:tcPr>
            <w:tcW w:w="517" w:type="pct"/>
            <w:tcBorders>
              <w:top w:val="single" w:sz="4" w:space="0" w:color="auto"/>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never</w:t>
            </w:r>
          </w:p>
        </w:tc>
        <w:tc>
          <w:tcPr>
            <w:tcW w:w="518" w:type="pct"/>
            <w:tcBorders>
              <w:top w:val="single" w:sz="4" w:space="0" w:color="auto"/>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very few times</w:t>
            </w:r>
          </w:p>
        </w:tc>
        <w:tc>
          <w:tcPr>
            <w:tcW w:w="518" w:type="pct"/>
            <w:tcBorders>
              <w:top w:val="single" w:sz="4" w:space="0" w:color="auto"/>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few times</w:t>
            </w:r>
          </w:p>
        </w:tc>
        <w:tc>
          <w:tcPr>
            <w:tcW w:w="777" w:type="pct"/>
            <w:tcBorders>
              <w:top w:val="single" w:sz="4" w:space="0" w:color="auto"/>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Sometimes</w:t>
            </w:r>
          </w:p>
        </w:tc>
        <w:tc>
          <w:tcPr>
            <w:tcW w:w="532" w:type="pct"/>
            <w:tcBorders>
              <w:top w:val="single" w:sz="4" w:space="0" w:color="auto"/>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All times</w:t>
            </w:r>
          </w:p>
        </w:tc>
        <w:tc>
          <w:tcPr>
            <w:tcW w:w="449" w:type="pct"/>
            <w:tcBorders>
              <w:top w:val="single" w:sz="4" w:space="0" w:color="auto"/>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Mean</w:t>
            </w:r>
          </w:p>
        </w:tc>
        <w:tc>
          <w:tcPr>
            <w:tcW w:w="309" w:type="pct"/>
            <w:tcBorders>
              <w:top w:val="single" w:sz="4" w:space="0" w:color="auto"/>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SD</w:t>
            </w:r>
          </w:p>
        </w:tc>
      </w:tr>
      <w:tr>
        <w:tblPrEx/>
        <w:trPr>
          <w:trHeight w:val="300" w:hRule="atLeast"/>
        </w:trPr>
        <w:tc>
          <w:tcPr>
            <w:tcW w:w="1379" w:type="pct"/>
            <w:tcBorders/>
            <w:noWrap/>
            <w:vAlign w:val="bottom"/>
            <w:hideMark/>
          </w:tcPr>
          <w:p>
            <w:pPr>
              <w:pStyle w:val="style0"/>
              <w:spacing w:before="0" w:lineRule="auto" w:line="240"/>
              <w:jc w:val="left"/>
              <w:rPr>
                <w:rFonts w:cs="Times New Roman" w:eastAsia="Times New Roman"/>
                <w:color w:val="000000"/>
                <w:sz w:val="22"/>
              </w:rPr>
            </w:pPr>
            <w:r>
              <w:rPr>
                <w:rFonts w:cs="Times New Roman" w:eastAsia="Times New Roman"/>
                <w:color w:val="000000"/>
                <w:sz w:val="22"/>
              </w:rPr>
              <w:t>I am able to pay school fees for my child/children</w:t>
            </w:r>
          </w:p>
        </w:tc>
        <w:tc>
          <w:tcPr>
            <w:tcW w:w="51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19.8%</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21.9%</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30.5%</w:t>
            </w:r>
          </w:p>
        </w:tc>
        <w:tc>
          <w:tcPr>
            <w:tcW w:w="77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16.0%</w:t>
            </w:r>
          </w:p>
        </w:tc>
        <w:tc>
          <w:tcPr>
            <w:tcW w:w="532"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11.8%</w:t>
            </w:r>
          </w:p>
        </w:tc>
        <w:tc>
          <w:tcPr>
            <w:tcW w:w="44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2.8</w:t>
            </w:r>
          </w:p>
        </w:tc>
        <w:tc>
          <w:tcPr>
            <w:tcW w:w="30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1.3</w:t>
            </w:r>
          </w:p>
        </w:tc>
      </w:tr>
      <w:tr>
        <w:tblPrEx/>
        <w:trPr>
          <w:trHeight w:val="300" w:hRule="atLeast"/>
        </w:trPr>
        <w:tc>
          <w:tcPr>
            <w:tcW w:w="1379" w:type="pct"/>
            <w:tcBorders/>
            <w:noWrap/>
            <w:vAlign w:val="bottom"/>
            <w:hideMark/>
          </w:tcPr>
          <w:p>
            <w:pPr>
              <w:pStyle w:val="style0"/>
              <w:spacing w:before="0" w:lineRule="auto" w:line="240"/>
              <w:jc w:val="left"/>
              <w:rPr>
                <w:rFonts w:cs="Times New Roman" w:eastAsia="Times New Roman"/>
                <w:color w:val="000000"/>
                <w:sz w:val="22"/>
              </w:rPr>
            </w:pPr>
            <w:r>
              <w:rPr>
                <w:rFonts w:cs="Times New Roman" w:eastAsia="Times New Roman"/>
                <w:color w:val="000000"/>
                <w:sz w:val="22"/>
              </w:rPr>
              <w:t>I am able to purchase learning items for my child/children.</w:t>
            </w:r>
          </w:p>
        </w:tc>
        <w:tc>
          <w:tcPr>
            <w:tcW w:w="51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20.9%</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20.9%</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34.8%</w:t>
            </w:r>
          </w:p>
        </w:tc>
        <w:tc>
          <w:tcPr>
            <w:tcW w:w="77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11.2%</w:t>
            </w:r>
          </w:p>
        </w:tc>
        <w:tc>
          <w:tcPr>
            <w:tcW w:w="532"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12.3%</w:t>
            </w:r>
          </w:p>
        </w:tc>
        <w:tc>
          <w:tcPr>
            <w:tcW w:w="44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2.7</w:t>
            </w:r>
          </w:p>
        </w:tc>
        <w:tc>
          <w:tcPr>
            <w:tcW w:w="30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1.3</w:t>
            </w:r>
          </w:p>
        </w:tc>
      </w:tr>
      <w:tr>
        <w:tblPrEx/>
        <w:trPr>
          <w:trHeight w:val="300" w:hRule="atLeast"/>
        </w:trPr>
        <w:tc>
          <w:tcPr>
            <w:tcW w:w="1379" w:type="pct"/>
            <w:tcBorders/>
            <w:noWrap/>
            <w:vAlign w:val="bottom"/>
            <w:hideMark/>
          </w:tcPr>
          <w:p>
            <w:pPr>
              <w:pStyle w:val="style0"/>
              <w:spacing w:before="0" w:lineRule="auto" w:line="240"/>
              <w:jc w:val="left"/>
              <w:rPr>
                <w:rFonts w:cs="Times New Roman" w:eastAsia="Times New Roman"/>
                <w:color w:val="000000"/>
                <w:sz w:val="22"/>
              </w:rPr>
            </w:pPr>
            <w:r>
              <w:rPr>
                <w:rFonts w:cs="Times New Roman" w:eastAsia="Times New Roman"/>
                <w:color w:val="000000"/>
                <w:sz w:val="22"/>
              </w:rPr>
              <w:t>I am able to provide food for my child/children before going to school</w:t>
            </w:r>
          </w:p>
        </w:tc>
        <w:tc>
          <w:tcPr>
            <w:tcW w:w="51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17.6%</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24.1%</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32.6%</w:t>
            </w:r>
          </w:p>
        </w:tc>
        <w:tc>
          <w:tcPr>
            <w:tcW w:w="77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15.0%</w:t>
            </w:r>
          </w:p>
        </w:tc>
        <w:tc>
          <w:tcPr>
            <w:tcW w:w="532"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10.7%</w:t>
            </w:r>
          </w:p>
        </w:tc>
        <w:tc>
          <w:tcPr>
            <w:tcW w:w="44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2.8</w:t>
            </w:r>
          </w:p>
        </w:tc>
        <w:tc>
          <w:tcPr>
            <w:tcW w:w="30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1.2</w:t>
            </w:r>
          </w:p>
        </w:tc>
      </w:tr>
      <w:tr>
        <w:tblPrEx/>
        <w:trPr>
          <w:trHeight w:val="300" w:hRule="atLeast"/>
        </w:trPr>
        <w:tc>
          <w:tcPr>
            <w:tcW w:w="1379" w:type="pct"/>
            <w:tcBorders/>
            <w:noWrap/>
            <w:vAlign w:val="bottom"/>
            <w:hideMark/>
          </w:tcPr>
          <w:p>
            <w:pPr>
              <w:pStyle w:val="style0"/>
              <w:spacing w:before="0" w:lineRule="auto" w:line="240"/>
              <w:jc w:val="left"/>
              <w:rPr>
                <w:rFonts w:cs="Times New Roman" w:eastAsia="Times New Roman"/>
                <w:color w:val="000000"/>
                <w:sz w:val="22"/>
              </w:rPr>
            </w:pPr>
            <w:r>
              <w:rPr>
                <w:rFonts w:cs="Times New Roman" w:eastAsia="Times New Roman"/>
                <w:color w:val="000000"/>
                <w:sz w:val="22"/>
              </w:rPr>
              <w:t>I am able to pay for remedial classes to sharpen my child/children in class</w:t>
            </w:r>
          </w:p>
        </w:tc>
        <w:tc>
          <w:tcPr>
            <w:tcW w:w="51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18.7%</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21.9%</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36.9%</w:t>
            </w:r>
          </w:p>
        </w:tc>
        <w:tc>
          <w:tcPr>
            <w:tcW w:w="77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10.7%</w:t>
            </w:r>
          </w:p>
        </w:tc>
        <w:tc>
          <w:tcPr>
            <w:tcW w:w="532"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11.8%</w:t>
            </w:r>
          </w:p>
        </w:tc>
        <w:tc>
          <w:tcPr>
            <w:tcW w:w="44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2.7</w:t>
            </w:r>
          </w:p>
        </w:tc>
        <w:tc>
          <w:tcPr>
            <w:tcW w:w="30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1.2</w:t>
            </w:r>
          </w:p>
        </w:tc>
      </w:tr>
      <w:tr>
        <w:tblPrEx/>
        <w:trPr>
          <w:trHeight w:val="300" w:hRule="atLeast"/>
        </w:trPr>
        <w:tc>
          <w:tcPr>
            <w:tcW w:w="1379" w:type="pct"/>
            <w:tcBorders/>
            <w:noWrap/>
            <w:vAlign w:val="bottom"/>
            <w:hideMark/>
          </w:tcPr>
          <w:p>
            <w:pPr>
              <w:pStyle w:val="style0"/>
              <w:spacing w:before="0" w:lineRule="auto" w:line="240"/>
              <w:jc w:val="left"/>
              <w:rPr>
                <w:rFonts w:cs="Times New Roman" w:eastAsia="Times New Roman"/>
                <w:color w:val="000000"/>
                <w:sz w:val="22"/>
              </w:rPr>
            </w:pPr>
            <w:r>
              <w:rPr>
                <w:rFonts w:cs="Times New Roman" w:eastAsia="Times New Roman"/>
                <w:color w:val="000000"/>
                <w:sz w:val="22"/>
              </w:rPr>
              <w:t>I able to provide school uniforms for my child/children if need be</w:t>
            </w:r>
          </w:p>
        </w:tc>
        <w:tc>
          <w:tcPr>
            <w:tcW w:w="51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26.2%</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17.6%</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32.6%</w:t>
            </w:r>
          </w:p>
        </w:tc>
        <w:tc>
          <w:tcPr>
            <w:tcW w:w="77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16.6%</w:t>
            </w:r>
          </w:p>
        </w:tc>
        <w:tc>
          <w:tcPr>
            <w:tcW w:w="532"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7.0%</w:t>
            </w:r>
          </w:p>
        </w:tc>
        <w:tc>
          <w:tcPr>
            <w:tcW w:w="44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2.6</w:t>
            </w:r>
          </w:p>
        </w:tc>
        <w:tc>
          <w:tcPr>
            <w:tcW w:w="30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1.2</w:t>
            </w:r>
          </w:p>
        </w:tc>
      </w:tr>
      <w:tr>
        <w:tblPrEx/>
        <w:trPr>
          <w:trHeight w:val="300" w:hRule="atLeast"/>
        </w:trPr>
        <w:tc>
          <w:tcPr>
            <w:tcW w:w="1379" w:type="pct"/>
            <w:tcBorders/>
            <w:noWrap/>
            <w:vAlign w:val="bottom"/>
            <w:hideMark/>
          </w:tcPr>
          <w:p>
            <w:pPr>
              <w:pStyle w:val="style0"/>
              <w:spacing w:before="0" w:lineRule="auto" w:line="240"/>
              <w:jc w:val="left"/>
              <w:rPr>
                <w:rFonts w:cs="Times New Roman" w:eastAsia="Times New Roman"/>
                <w:color w:val="000000"/>
                <w:sz w:val="22"/>
              </w:rPr>
            </w:pPr>
            <w:r>
              <w:rPr>
                <w:rFonts w:cs="Times New Roman" w:eastAsia="Times New Roman"/>
                <w:color w:val="000000"/>
                <w:sz w:val="22"/>
              </w:rPr>
              <w:t>I am able to pay for academic tours for my child/children</w:t>
            </w:r>
          </w:p>
        </w:tc>
        <w:tc>
          <w:tcPr>
            <w:tcW w:w="51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17.6%</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24.1%</w:t>
            </w:r>
          </w:p>
        </w:tc>
        <w:tc>
          <w:tcPr>
            <w:tcW w:w="518"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31.0%</w:t>
            </w:r>
          </w:p>
        </w:tc>
        <w:tc>
          <w:tcPr>
            <w:tcW w:w="777"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17.1%</w:t>
            </w:r>
          </w:p>
        </w:tc>
        <w:tc>
          <w:tcPr>
            <w:tcW w:w="532" w:type="pct"/>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10.2%</w:t>
            </w:r>
          </w:p>
        </w:tc>
        <w:tc>
          <w:tcPr>
            <w:tcW w:w="44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2.8</w:t>
            </w:r>
          </w:p>
        </w:tc>
        <w:tc>
          <w:tcPr>
            <w:tcW w:w="309" w:type="pct"/>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1.2</w:t>
            </w:r>
          </w:p>
        </w:tc>
      </w:tr>
      <w:tr>
        <w:tblPrEx/>
        <w:trPr>
          <w:trHeight w:val="300" w:hRule="atLeast"/>
        </w:trPr>
        <w:tc>
          <w:tcPr>
            <w:tcW w:w="1379" w:type="pct"/>
            <w:tcBorders>
              <w:top w:val="nil"/>
              <w:left w:val="nil"/>
              <w:bottom w:val="single" w:sz="4" w:space="0" w:color="auto"/>
              <w:right w:val="nil"/>
            </w:tcBorders>
            <w:noWrap/>
            <w:vAlign w:val="bottom"/>
            <w:hideMark/>
          </w:tcPr>
          <w:p>
            <w:pPr>
              <w:pStyle w:val="style0"/>
              <w:spacing w:before="0" w:lineRule="auto" w:line="240"/>
              <w:jc w:val="left"/>
              <w:rPr>
                <w:rFonts w:cs="Times New Roman" w:eastAsia="Times New Roman"/>
                <w:color w:val="000000"/>
                <w:sz w:val="22"/>
              </w:rPr>
            </w:pPr>
            <w:r>
              <w:rPr>
                <w:rFonts w:cs="Times New Roman" w:eastAsia="Times New Roman"/>
                <w:color w:val="000000"/>
                <w:sz w:val="22"/>
              </w:rPr>
              <w:t>I am able to pay for motivational rewards for best performing pupils in the school where my child studies</w:t>
            </w:r>
          </w:p>
        </w:tc>
        <w:tc>
          <w:tcPr>
            <w:tcW w:w="517" w:type="pct"/>
            <w:tcBorders>
              <w:top w:val="nil"/>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17.1%</w:t>
            </w:r>
          </w:p>
        </w:tc>
        <w:tc>
          <w:tcPr>
            <w:tcW w:w="518" w:type="pct"/>
            <w:tcBorders>
              <w:top w:val="nil"/>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16.0%</w:t>
            </w:r>
          </w:p>
        </w:tc>
        <w:tc>
          <w:tcPr>
            <w:tcW w:w="518" w:type="pct"/>
            <w:tcBorders>
              <w:top w:val="nil"/>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37.4%</w:t>
            </w:r>
          </w:p>
        </w:tc>
        <w:tc>
          <w:tcPr>
            <w:tcW w:w="777" w:type="pct"/>
            <w:tcBorders>
              <w:top w:val="nil"/>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17.1%</w:t>
            </w:r>
          </w:p>
        </w:tc>
        <w:tc>
          <w:tcPr>
            <w:tcW w:w="532" w:type="pct"/>
            <w:tcBorders>
              <w:top w:val="nil"/>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22"/>
              </w:rPr>
            </w:pPr>
            <w:r>
              <w:rPr>
                <w:rFonts w:cs="Times New Roman" w:eastAsia="Times New Roman"/>
                <w:color w:val="000000"/>
                <w:sz w:val="22"/>
              </w:rPr>
              <w:t>12.3%</w:t>
            </w:r>
          </w:p>
        </w:tc>
        <w:tc>
          <w:tcPr>
            <w:tcW w:w="449" w:type="pct"/>
            <w:tcBorders>
              <w:top w:val="nil"/>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2.9</w:t>
            </w:r>
          </w:p>
        </w:tc>
        <w:tc>
          <w:tcPr>
            <w:tcW w:w="309" w:type="pct"/>
            <w:tcBorders>
              <w:top w:val="nil"/>
              <w:left w:val="nil"/>
              <w:bottom w:val="single" w:sz="4" w:space="0" w:color="auto"/>
              <w:right w:val="nil"/>
            </w:tcBorders>
            <w:noWrap/>
            <w:vAlign w:val="bottom"/>
            <w:hideMark/>
          </w:tcPr>
          <w:p>
            <w:pPr>
              <w:pStyle w:val="style0"/>
              <w:spacing w:before="0" w:lineRule="auto" w:line="240"/>
              <w:jc w:val="center"/>
              <w:rPr>
                <w:rFonts w:cs="Times New Roman" w:eastAsia="Times New Roman"/>
                <w:color w:val="000000"/>
                <w:sz w:val="18"/>
                <w:szCs w:val="18"/>
              </w:rPr>
            </w:pPr>
            <w:r>
              <w:rPr>
                <w:rFonts w:cs="Times New Roman" w:eastAsia="Times New Roman"/>
                <w:color w:val="000000"/>
                <w:sz w:val="18"/>
                <w:szCs w:val="18"/>
              </w:rPr>
              <w:t>1.2</w:t>
            </w:r>
          </w:p>
        </w:tc>
      </w:tr>
    </w:tbl>
    <w:p>
      <w:pPr>
        <w:pStyle w:val="style0"/>
        <w:rPr>
          <w:rFonts w:cs="Times New Roman"/>
          <w:szCs w:val="24"/>
          <w:lang w:val="en-GB"/>
        </w:rPr>
      </w:pPr>
      <w:r>
        <w:rPr>
          <w:rFonts w:cs="Times New Roman"/>
          <w:szCs w:val="24"/>
          <w:lang w:val="en-GB"/>
        </w:rPr>
        <w:t>Table 4.</w:t>
      </w:r>
      <w:r>
        <w:rPr>
          <w:rFonts w:cs="Times New Roman"/>
          <w:szCs w:val="24"/>
          <w:lang w:val="en-GB"/>
        </w:rPr>
        <w:t>8</w:t>
      </w:r>
      <w:r>
        <w:rPr>
          <w:rFonts w:cs="Times New Roman"/>
          <w:szCs w:val="24"/>
          <w:lang w:val="en-GB"/>
        </w:rPr>
        <w:t xml:space="preserve"> shows that most parents can pay school fees for their children with a sizeable income level; however, in few times because the income received is not adequate, as </w:t>
      </w:r>
      <w:r>
        <w:rPr>
          <w:rFonts w:cs="Times New Roman"/>
          <w:szCs w:val="24"/>
          <w:lang w:val="en-GB"/>
        </w:rPr>
        <w:t>indicated by the mean response of 2.8. The results also showed that most parents could purchase learning items for their children a few times because the income received is inadequate, as indicated by a mean response of 2.7. The results also showed that most parents could provide food for their children before school; however, a few times, the income received was not adequate, as indicated by the mean response of 2.8. Further, results also showed that most parents could pay for remedial classes to sharpen their children's skills only a few times because the income received is inadequate, as indicated by a mean response of 2.7.</w:t>
      </w:r>
    </w:p>
    <w:p>
      <w:pPr>
        <w:pStyle w:val="style0"/>
        <w:rPr>
          <w:rFonts w:cs="Times New Roman"/>
          <w:szCs w:val="24"/>
        </w:rPr>
      </w:pPr>
      <w:r>
        <w:rPr>
          <w:rFonts w:cs="Times New Roman"/>
          <w:szCs w:val="24"/>
          <w:lang w:val="en-GB"/>
        </w:rPr>
        <w:t xml:space="preserve">The results also showed that parents could provide school uniforms for their children if need </w:t>
      </w:r>
      <w:r>
        <w:rPr>
          <w:rFonts w:cs="Times New Roman"/>
          <w:szCs w:val="24"/>
          <w:lang w:val="en-GB"/>
        </w:rPr>
        <w:t>be</w:t>
      </w:r>
      <w:r>
        <w:rPr>
          <w:rFonts w:cs="Times New Roman"/>
          <w:szCs w:val="24"/>
          <w:lang w:val="en-GB"/>
        </w:rPr>
        <w:t xml:space="preserve"> in a few times because the income received is not adequate, as indicated by a mean response of 2.6. Further, through their income, they can pay for educational tours for their children, though not all the time, because the income is insufficient. Finally, parents can also pay for motivational rewards for best-performing pupils in the school where their child studies, though not all the time because the income is insufficient to cater to all the children's household needs and learning expenses</w:t>
      </w:r>
      <w:r>
        <w:rPr>
          <w:rFonts w:cs="Times New Roman" w:eastAsia="Times New Roman"/>
          <w:color w:val="000000"/>
          <w:sz w:val="22"/>
        </w:rPr>
        <w:t>.</w:t>
      </w:r>
    </w:p>
    <w:p>
      <w:pPr>
        <w:pStyle w:val="style0"/>
        <w:ind w:left="720"/>
        <w:rPr>
          <w:rFonts w:cs="Times New Roman"/>
          <w:i/>
          <w:szCs w:val="24"/>
        </w:rPr>
      </w:pPr>
      <w:r>
        <w:t xml:space="preserve"> ‘Most parents with their children in this school fail to pay for examination fees for their children in time. However, there are those parents who are able to clear any pending learning expenses for the entire term or year which I presumed to have sufficient income to cater for learning needs of their children. With sufficient household income, parents/guardians may be able to </w:t>
      </w:r>
      <w:r>
        <w:rPr>
          <w:rFonts w:eastAsia="Times New Roman"/>
        </w:rPr>
        <w:t>pay fees, acquire stationery, paying for tour and remedial fees in time</w:t>
      </w:r>
      <w:r>
        <w:t xml:space="preserve">’ </w:t>
      </w:r>
      <w:r>
        <w:rPr>
          <w:rFonts w:cs="Times New Roman"/>
          <w:szCs w:val="24"/>
        </w:rPr>
        <w:t>Head teacher 1, [Key Informant Interviewee, 2021].</w:t>
      </w:r>
    </w:p>
    <w:p>
      <w:pPr>
        <w:pStyle w:val="style0"/>
        <w:rPr>
          <w:rFonts w:cs="Times New Roman"/>
          <w:szCs w:val="24"/>
        </w:rPr>
      </w:pPr>
      <w:r>
        <w:rPr>
          <w:rFonts w:cs="Times New Roman"/>
          <w:szCs w:val="24"/>
        </w:rPr>
        <w:t xml:space="preserve">Parents’ low income is a primary impediment to students’ academic success and development. A student’s </w:t>
      </w:r>
      <w:r>
        <w:rPr>
          <w:rFonts w:cs="Times New Roman"/>
          <w:szCs w:val="24"/>
        </w:rPr>
        <w:t>academic achievement</w:t>
      </w:r>
      <w:r>
        <w:rPr>
          <w:rFonts w:cs="Times New Roman"/>
          <w:szCs w:val="24"/>
        </w:rPr>
        <w:t xml:space="preserve"> can be determined by socioeconomic factors in parents and family income levels. Household income has a significant effect on </w:t>
      </w:r>
      <w:r>
        <w:rPr>
          <w:rFonts w:cs="Times New Roman"/>
          <w:szCs w:val="24"/>
        </w:rPr>
        <w:t>academic achievement</w:t>
      </w:r>
      <w:r>
        <w:rPr>
          <w:rFonts w:cs="Times New Roman"/>
          <w:szCs w:val="24"/>
        </w:rPr>
        <w:t>, especially when it comes to the economic resources needed for implementing more academic components. The results agree with Lin (</w:t>
      </w:r>
      <w:r>
        <w:rPr>
          <w:rFonts w:cs="Times New Roman"/>
          <w:szCs w:val="24"/>
        </w:rPr>
        <w:t>2021</w:t>
      </w:r>
      <w:r>
        <w:rPr>
          <w:rFonts w:cs="Times New Roman"/>
          <w:szCs w:val="24"/>
        </w:rPr>
        <w:t xml:space="preserve">), who identifies that family income negatively influences children’s education level, and a significant increase in family income can improve their education level. According to Considine and </w:t>
      </w:r>
      <w:r>
        <w:rPr>
          <w:rFonts w:cs="Times New Roman"/>
          <w:szCs w:val="24"/>
        </w:rPr>
        <w:t>Zappal</w:t>
      </w:r>
      <w:r>
        <w:rPr>
          <w:rFonts w:cs="Times New Roman"/>
          <w:szCs w:val="24"/>
        </w:rPr>
        <w:t xml:space="preserve"> (</w:t>
      </w:r>
      <w:r>
        <w:rPr>
          <w:rFonts w:cs="Times New Roman"/>
          <w:szCs w:val="24"/>
        </w:rPr>
        <w:t>2021</w:t>
      </w:r>
      <w:r>
        <w:rPr>
          <w:rFonts w:cs="Times New Roman"/>
          <w:szCs w:val="24"/>
        </w:rPr>
        <w:t xml:space="preserve">), pupils from wealthy families tend to outperform pupils from low-income families in academic achievement tests. However, </w:t>
      </w:r>
      <w:r>
        <w:rPr>
          <w:rFonts w:cs="Times New Roman"/>
          <w:szCs w:val="24"/>
        </w:rPr>
        <w:t>pupils’</w:t>
      </w:r>
      <w:r>
        <w:rPr>
          <w:rFonts w:cs="Times New Roman"/>
          <w:szCs w:val="24"/>
        </w:rPr>
        <w:t xml:space="preserve"> from low-</w:t>
      </w:r>
      <w:r>
        <w:rPr>
          <w:rFonts w:cs="Times New Roman"/>
          <w:szCs w:val="24"/>
        </w:rPr>
        <w:t xml:space="preserve">income families will achieve higher when they attend schools and classrooms where most of the population is economically advantaged. </w:t>
      </w:r>
    </w:p>
    <w:p>
      <w:pPr>
        <w:pStyle w:val="style0"/>
        <w:rPr>
          <w:b/>
        </w:rPr>
      </w:pPr>
      <w:r>
        <w:rPr>
          <w:b/>
          <w:szCs w:val="24"/>
        </w:rPr>
        <w:t xml:space="preserve">4.3.5 </w:t>
      </w:r>
      <w:r>
        <w:rPr>
          <w:b/>
        </w:rPr>
        <w:t xml:space="preserve">Distribution of class teachers by </w:t>
      </w:r>
      <w:r>
        <w:rPr>
          <w:rFonts w:eastAsia="Times New Roman"/>
          <w:b/>
          <w:color w:val="000000"/>
          <w:szCs w:val="24"/>
        </w:rPr>
        <w:t>years of experience</w:t>
      </w:r>
    </w:p>
    <w:p>
      <w:pPr>
        <w:pStyle w:val="style0"/>
        <w:rPr>
          <w:szCs w:val="24"/>
        </w:rPr>
      </w:pPr>
      <w:r>
        <w:rPr>
          <w:szCs w:val="24"/>
        </w:rPr>
        <w:t xml:space="preserve">The study investigated the </w:t>
      </w:r>
      <w:r>
        <w:rPr>
          <w:rFonts w:eastAsia="Times New Roman"/>
          <w:bCs/>
          <w:color w:val="000000"/>
          <w:szCs w:val="24"/>
        </w:rPr>
        <w:t>years of work</w:t>
      </w:r>
      <w:r>
        <w:rPr>
          <w:szCs w:val="24"/>
        </w:rPr>
        <w:t xml:space="preserve"> of respondents that participated in the study. It was necessary to indicate </w:t>
      </w:r>
      <w:r>
        <w:rPr>
          <w:rFonts w:eastAsia="Times New Roman"/>
          <w:bCs/>
          <w:color w:val="000000"/>
          <w:szCs w:val="24"/>
        </w:rPr>
        <w:t xml:space="preserve">years of experience </w:t>
      </w:r>
      <w:r>
        <w:rPr>
          <w:szCs w:val="24"/>
        </w:rPr>
        <w:t xml:space="preserve">of the class teachers so as to establish the relationship between the teachers’ task experience </w:t>
      </w:r>
      <w:r>
        <w:t>and student’s academic achievement</w:t>
      </w:r>
      <w:r>
        <w:rPr>
          <w:szCs w:val="24"/>
        </w:rPr>
        <w:t xml:space="preserve">. </w:t>
      </w:r>
      <w:r>
        <w:t>The results are demonstrated in Table 4.</w:t>
      </w:r>
      <w:r>
        <w:t>9</w:t>
      </w:r>
      <w:r>
        <w:t>.</w:t>
      </w:r>
    </w:p>
    <w:bookmarkStart w:id="143" w:name="_Toc26870060"/>
    <w:bookmarkStart w:id="144" w:name="_Toc144196185"/>
    <w:p>
      <w:pPr>
        <w:pStyle w:val="style4"/>
        <w:spacing w:before="120" w:after="120"/>
        <w:rPr>
          <w:szCs w:val="24"/>
        </w:rPr>
      </w:pPr>
      <w:r>
        <w:rPr>
          <w:szCs w:val="24"/>
        </w:rPr>
        <w:t>Table 4.</w:t>
      </w:r>
      <w:r>
        <w:rPr>
          <w:szCs w:val="24"/>
        </w:rPr>
        <w:t>9</w:t>
      </w:r>
      <w:r>
        <w:rPr>
          <w:szCs w:val="24"/>
        </w:rPr>
        <w:t xml:space="preserve">: </w:t>
      </w:r>
      <w:r>
        <w:t xml:space="preserve">Distribution of class teachers by </w:t>
      </w:r>
      <w:r>
        <w:rPr>
          <w:rFonts w:eastAsia="Times New Roman"/>
          <w:bCs w:val="false"/>
          <w:color w:val="000000"/>
          <w:szCs w:val="24"/>
        </w:rPr>
        <w:t>years of experience</w:t>
      </w:r>
      <w:bookmarkEnd w:id="143"/>
      <w:bookmarkEnd w:id="144"/>
    </w:p>
    <w:tbl>
      <w:tblPr>
        <w:tblW w:w="5000" w:type="pct"/>
        <w:jc w:val="center"/>
        <w:tblLook w:val="04A0" w:firstRow="1" w:lastRow="0" w:firstColumn="1" w:lastColumn="0" w:noHBand="0" w:noVBand="1"/>
      </w:tblPr>
      <w:tblGrid>
        <w:gridCol w:w="3693"/>
        <w:gridCol w:w="2437"/>
        <w:gridCol w:w="2091"/>
      </w:tblGrid>
      <w:tr>
        <w:trPr>
          <w:trHeight w:val="17" w:hRule="atLeast"/>
          <w:jc w:val="center"/>
        </w:trPr>
        <w:tc>
          <w:tcPr>
            <w:tcW w:w="2246" w:type="pct"/>
            <w:tcBorders>
              <w:top w:val="single" w:sz="4" w:space="0" w:color="auto"/>
              <w:left w:val="nil"/>
              <w:bottom w:val="single" w:sz="4" w:space="0" w:color="auto"/>
              <w:right w:val="nil"/>
            </w:tcBorders>
            <w:noWrap/>
            <w:vAlign w:val="bottom"/>
            <w:hideMark/>
          </w:tcPr>
          <w:p>
            <w:pPr>
              <w:pStyle w:val="style0"/>
              <w:spacing w:lineRule="auto" w:line="240"/>
              <w:rPr>
                <w:rFonts w:cs="Times New Roman" w:eastAsia="Times New Roman"/>
                <w:b/>
                <w:bCs/>
                <w:color w:val="000000"/>
                <w:szCs w:val="24"/>
              </w:rPr>
            </w:pPr>
            <w:r>
              <w:rPr>
                <w:rFonts w:cs="Times New Roman" w:eastAsia="Times New Roman"/>
                <w:b/>
                <w:bCs/>
                <w:color w:val="000000"/>
                <w:szCs w:val="24"/>
              </w:rPr>
              <w:t>Years of work</w:t>
            </w:r>
          </w:p>
        </w:tc>
        <w:tc>
          <w:tcPr>
            <w:tcW w:w="1482" w:type="pct"/>
            <w:tcBorders>
              <w:top w:val="single" w:sz="4" w:space="0" w:color="auto"/>
              <w:left w:val="nil"/>
              <w:bottom w:val="single" w:sz="4" w:space="0" w:color="auto"/>
              <w:right w:val="nil"/>
            </w:tcBorders>
            <w:noWrap/>
            <w:vAlign w:val="bottom"/>
            <w:hideMark/>
          </w:tcPr>
          <w:p>
            <w:pPr>
              <w:pStyle w:val="style0"/>
              <w:spacing w:lineRule="auto" w:line="240"/>
              <w:jc w:val="center"/>
              <w:rPr>
                <w:rFonts w:cs="Times New Roman" w:eastAsia="Times New Roman"/>
                <w:color w:val="000000"/>
                <w:szCs w:val="24"/>
              </w:rPr>
            </w:pPr>
            <w:r>
              <w:rPr>
                <w:rFonts w:cs="Times New Roman" w:eastAsia="Times New Roman"/>
                <w:b/>
                <w:bCs/>
                <w:color w:val="000000"/>
                <w:szCs w:val="24"/>
              </w:rPr>
              <w:t>Frequency</w:t>
            </w:r>
          </w:p>
        </w:tc>
        <w:tc>
          <w:tcPr>
            <w:tcW w:w="1272" w:type="pct"/>
            <w:tcBorders>
              <w:top w:val="single" w:sz="4" w:space="0" w:color="auto"/>
              <w:left w:val="nil"/>
              <w:bottom w:val="single" w:sz="4" w:space="0" w:color="auto"/>
              <w:right w:val="nil"/>
            </w:tcBorders>
            <w:noWrap/>
            <w:vAlign w:val="bottom"/>
            <w:hideMark/>
          </w:tcPr>
          <w:p>
            <w:pPr>
              <w:pStyle w:val="style0"/>
              <w:spacing w:lineRule="auto" w:line="240"/>
              <w:jc w:val="center"/>
              <w:rPr>
                <w:rFonts w:cs="Times New Roman" w:eastAsia="Times New Roman"/>
                <w:color w:val="000000"/>
                <w:szCs w:val="24"/>
              </w:rPr>
            </w:pPr>
            <w:r>
              <w:rPr>
                <w:rFonts w:cs="Times New Roman" w:eastAsia="Times New Roman"/>
                <w:b/>
                <w:bCs/>
                <w:color w:val="000000"/>
                <w:szCs w:val="24"/>
              </w:rPr>
              <w:t>Percent (%)</w:t>
            </w:r>
          </w:p>
        </w:tc>
      </w:tr>
      <w:tr>
        <w:tblPrEx/>
        <w:trPr>
          <w:trHeight w:val="17" w:hRule="atLeast"/>
          <w:jc w:val="center"/>
        </w:trPr>
        <w:tc>
          <w:tcPr>
            <w:tcW w:w="2246" w:type="pct"/>
            <w:tcBorders>
              <w:top w:val="single" w:sz="4" w:space="0" w:color="auto"/>
              <w:left w:val="nil"/>
              <w:bottom w:val="nil"/>
              <w:right w:val="nil"/>
            </w:tcBorders>
            <w:noWrap/>
            <w:vAlign w:val="center"/>
            <w:hideMark/>
          </w:tcPr>
          <w:p>
            <w:pPr>
              <w:pStyle w:val="style0"/>
              <w:autoSpaceDE w:val="false"/>
              <w:autoSpaceDN w:val="false"/>
              <w:adjustRightInd w:val="false"/>
              <w:spacing w:lineRule="auto" w:line="240"/>
              <w:ind w:left="60" w:right="60"/>
              <w:rPr>
                <w:rFonts w:cs="Times New Roman"/>
                <w:color w:val="000000"/>
                <w:szCs w:val="24"/>
              </w:rPr>
            </w:pPr>
            <w:r>
              <w:rPr>
                <w:rFonts w:cs="Times New Roman"/>
                <w:color w:val="000000"/>
                <w:szCs w:val="24"/>
              </w:rPr>
              <w:t>less than 2 years</w:t>
            </w:r>
          </w:p>
        </w:tc>
        <w:tc>
          <w:tcPr>
            <w:tcW w:w="1482" w:type="pct"/>
            <w:tcBorders>
              <w:top w:val="single" w:sz="4" w:space="0" w:color="auto"/>
              <w:left w:val="nil"/>
              <w:bottom w:val="nil"/>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10</w:t>
            </w:r>
          </w:p>
        </w:tc>
        <w:tc>
          <w:tcPr>
            <w:tcW w:w="1272" w:type="pct"/>
            <w:tcBorders>
              <w:top w:val="single" w:sz="4" w:space="0" w:color="auto"/>
              <w:left w:val="nil"/>
              <w:bottom w:val="nil"/>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13.0</w:t>
            </w:r>
          </w:p>
        </w:tc>
      </w:tr>
      <w:tr>
        <w:tblPrEx/>
        <w:trPr>
          <w:trHeight w:val="17" w:hRule="atLeast"/>
          <w:jc w:val="center"/>
        </w:trPr>
        <w:tc>
          <w:tcPr>
            <w:tcW w:w="2246" w:type="pct"/>
            <w:tcBorders/>
            <w:noWrap/>
            <w:vAlign w:val="center"/>
            <w:hideMark/>
          </w:tcPr>
          <w:p>
            <w:pPr>
              <w:pStyle w:val="style0"/>
              <w:autoSpaceDE w:val="false"/>
              <w:autoSpaceDN w:val="false"/>
              <w:adjustRightInd w:val="false"/>
              <w:spacing w:lineRule="auto" w:line="240"/>
              <w:ind w:left="60" w:right="60"/>
              <w:rPr>
                <w:rFonts w:cs="Times New Roman"/>
                <w:color w:val="000000"/>
                <w:szCs w:val="24"/>
              </w:rPr>
            </w:pPr>
            <w:r>
              <w:rPr>
                <w:rFonts w:cs="Times New Roman"/>
                <w:color w:val="000000"/>
                <w:szCs w:val="24"/>
              </w:rPr>
              <w:t xml:space="preserve">3 to 5 </w:t>
            </w:r>
            <w:r>
              <w:rPr>
                <w:rFonts w:cs="Times New Roman"/>
                <w:color w:val="000000"/>
                <w:szCs w:val="24"/>
              </w:rPr>
              <w:t>years</w:t>
            </w:r>
          </w:p>
        </w:tc>
        <w:tc>
          <w:tcPr>
            <w:tcW w:w="148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25</w:t>
            </w:r>
          </w:p>
        </w:tc>
        <w:tc>
          <w:tcPr>
            <w:tcW w:w="127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32.5</w:t>
            </w:r>
          </w:p>
        </w:tc>
      </w:tr>
      <w:tr>
        <w:tblPrEx/>
        <w:trPr>
          <w:trHeight w:val="17" w:hRule="atLeast"/>
          <w:jc w:val="center"/>
        </w:trPr>
        <w:tc>
          <w:tcPr>
            <w:tcW w:w="2246" w:type="pct"/>
            <w:tcBorders/>
            <w:noWrap/>
            <w:vAlign w:val="center"/>
            <w:hideMark/>
          </w:tcPr>
          <w:p>
            <w:pPr>
              <w:pStyle w:val="style0"/>
              <w:autoSpaceDE w:val="false"/>
              <w:autoSpaceDN w:val="false"/>
              <w:adjustRightInd w:val="false"/>
              <w:spacing w:lineRule="auto" w:line="240"/>
              <w:ind w:left="60" w:right="60"/>
              <w:rPr>
                <w:rFonts w:cs="Times New Roman"/>
                <w:color w:val="000000"/>
                <w:szCs w:val="24"/>
              </w:rPr>
            </w:pPr>
            <w:r>
              <w:rPr>
                <w:rFonts w:cs="Times New Roman"/>
                <w:color w:val="000000"/>
                <w:szCs w:val="24"/>
              </w:rPr>
              <w:t>6 to 8 years</w:t>
            </w:r>
          </w:p>
        </w:tc>
        <w:tc>
          <w:tcPr>
            <w:tcW w:w="148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30</w:t>
            </w:r>
          </w:p>
        </w:tc>
        <w:tc>
          <w:tcPr>
            <w:tcW w:w="127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39.0</w:t>
            </w:r>
          </w:p>
        </w:tc>
      </w:tr>
      <w:tr>
        <w:tblPrEx/>
        <w:trPr>
          <w:trHeight w:val="17" w:hRule="atLeast"/>
          <w:jc w:val="center"/>
        </w:trPr>
        <w:tc>
          <w:tcPr>
            <w:tcW w:w="2246"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rPr>
                <w:rFonts w:cs="Times New Roman"/>
                <w:color w:val="000000"/>
                <w:szCs w:val="24"/>
              </w:rPr>
            </w:pPr>
            <w:r>
              <w:rPr>
                <w:rFonts w:cs="Times New Roman"/>
                <w:color w:val="000000"/>
                <w:szCs w:val="24"/>
              </w:rPr>
              <w:t>More than 8 years</w:t>
            </w:r>
          </w:p>
        </w:tc>
        <w:tc>
          <w:tcPr>
            <w:tcW w:w="1482"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12</w:t>
            </w:r>
          </w:p>
        </w:tc>
        <w:tc>
          <w:tcPr>
            <w:tcW w:w="1272"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15.6</w:t>
            </w:r>
          </w:p>
        </w:tc>
      </w:tr>
      <w:tr>
        <w:tblPrEx/>
        <w:trPr>
          <w:trHeight w:val="17" w:hRule="atLeast"/>
          <w:jc w:val="center"/>
        </w:trPr>
        <w:tc>
          <w:tcPr>
            <w:tcW w:w="2246" w:type="pct"/>
            <w:tcBorders>
              <w:top w:val="single" w:sz="4" w:space="0" w:color="auto"/>
              <w:left w:val="nil"/>
              <w:bottom w:val="single" w:sz="4" w:space="0" w:color="auto"/>
              <w:right w:val="nil"/>
            </w:tcBorders>
            <w:noWrap/>
            <w:vAlign w:val="bottom"/>
            <w:hideMark/>
          </w:tcPr>
          <w:p>
            <w:pPr>
              <w:pStyle w:val="style0"/>
              <w:spacing w:lineRule="auto" w:line="240"/>
              <w:rPr>
                <w:rFonts w:cs="Times New Roman" w:eastAsia="Times New Roman"/>
                <w:b/>
                <w:color w:val="000000"/>
                <w:szCs w:val="24"/>
              </w:rPr>
            </w:pPr>
            <w:r>
              <w:rPr>
                <w:rFonts w:cs="Times New Roman" w:eastAsia="Times New Roman"/>
                <w:b/>
                <w:color w:val="000000"/>
                <w:szCs w:val="24"/>
              </w:rPr>
              <w:t>Total</w:t>
            </w:r>
          </w:p>
        </w:tc>
        <w:tc>
          <w:tcPr>
            <w:tcW w:w="1482" w:type="pct"/>
            <w:tcBorders>
              <w:top w:val="single" w:sz="4" w:space="0" w:color="auto"/>
              <w:left w:val="nil"/>
              <w:bottom w:val="single" w:sz="4" w:space="0" w:color="auto"/>
              <w:right w:val="nil"/>
            </w:tcBorders>
            <w:noWrap/>
            <w:vAlign w:val="bottom"/>
            <w:hideMark/>
          </w:tcPr>
          <w:p>
            <w:pPr>
              <w:pStyle w:val="style0"/>
              <w:spacing w:lineRule="auto" w:line="240"/>
              <w:jc w:val="center"/>
              <w:rPr>
                <w:rFonts w:cs="Times New Roman" w:eastAsia="Times New Roman"/>
                <w:b/>
                <w:color w:val="000000"/>
                <w:szCs w:val="24"/>
              </w:rPr>
            </w:pPr>
            <w:r>
              <w:rPr>
                <w:rFonts w:cs="Times New Roman" w:eastAsia="Times New Roman"/>
                <w:b/>
                <w:color w:val="000000"/>
                <w:szCs w:val="24"/>
              </w:rPr>
              <w:t>77</w:t>
            </w:r>
          </w:p>
        </w:tc>
        <w:tc>
          <w:tcPr>
            <w:tcW w:w="1272" w:type="pct"/>
            <w:tcBorders>
              <w:top w:val="single" w:sz="4" w:space="0" w:color="auto"/>
              <w:left w:val="nil"/>
              <w:bottom w:val="single" w:sz="4" w:space="0" w:color="auto"/>
              <w:right w:val="nil"/>
            </w:tcBorders>
            <w:noWrap/>
            <w:vAlign w:val="bottom"/>
            <w:hideMark/>
          </w:tcPr>
          <w:p>
            <w:pPr>
              <w:pStyle w:val="style0"/>
              <w:spacing w:lineRule="auto" w:line="240"/>
              <w:jc w:val="center"/>
              <w:rPr>
                <w:rFonts w:cs="Times New Roman" w:eastAsia="Times New Roman"/>
                <w:b/>
                <w:color w:val="000000"/>
                <w:szCs w:val="24"/>
              </w:rPr>
            </w:pPr>
            <w:r>
              <w:rPr>
                <w:rFonts w:cs="Times New Roman" w:eastAsia="Times New Roman"/>
                <w:b/>
                <w:color w:val="000000"/>
                <w:szCs w:val="24"/>
              </w:rPr>
              <w:t>100</w:t>
            </w:r>
          </w:p>
        </w:tc>
      </w:tr>
    </w:tbl>
    <w:p>
      <w:pPr>
        <w:pStyle w:val="style0"/>
        <w:rPr>
          <w:color w:val="000000"/>
          <w:sz w:val="22"/>
        </w:rPr>
      </w:pPr>
      <w:r>
        <w:rPr>
          <w:color w:val="000000"/>
          <w:sz w:val="22"/>
        </w:rPr>
        <w:t>Class teachers= 77</w:t>
      </w:r>
    </w:p>
    <w:p>
      <w:pPr>
        <w:pStyle w:val="style0"/>
        <w:rPr>
          <w:rFonts w:cs="Times New Roman"/>
          <w:szCs w:val="24"/>
        </w:rPr>
      </w:pPr>
      <w:r>
        <w:rPr>
          <w:rFonts w:cs="Times New Roman"/>
          <w:szCs w:val="24"/>
        </w:rPr>
        <w:t>Table 4.</w:t>
      </w:r>
      <w:r>
        <w:rPr>
          <w:rFonts w:cs="Times New Roman"/>
          <w:szCs w:val="24"/>
        </w:rPr>
        <w:t>9</w:t>
      </w:r>
      <w:r>
        <w:rPr>
          <w:rFonts w:cs="Times New Roman"/>
          <w:szCs w:val="24"/>
        </w:rPr>
        <w:t xml:space="preserve"> illustrates that most of the teachers who participated in the study had worked for more than three years. An individual’s work experience determines the skills acquired over time that influence job performance. Year of experience in teaching denotes the number of competencies and knowledge skills acquired by a classroom teacher in teaching and assessing learner performance in formative and summative examinations. Professional levels and the interaction between years of experience significantly affected the students’ achievement. The skills acquired by teachers over time are necessary for delivering class lessons. The results agree with Adeyemi (</w:t>
      </w:r>
      <w:r>
        <w:rPr>
          <w:rFonts w:cs="Times New Roman"/>
          <w:szCs w:val="24"/>
        </w:rPr>
        <w:t>2021</w:t>
      </w:r>
      <w:r>
        <w:rPr>
          <w:rFonts w:cs="Times New Roman"/>
          <w:szCs w:val="24"/>
        </w:rPr>
        <w:t>), who identifies that the teaching experience is significant to student’ learning outcomes and that schools having more teachers with five years and above teaching experience are likely to achieve better results compared to schools where more teachers have less than five years’ experience in the teaching profession. According to Dial (2008), the years of experience, as well as the interaction between years of experience and the teachers’ professional, significantly affect student achievement.</w:t>
      </w:r>
    </w:p>
    <w:p>
      <w:pPr>
        <w:pStyle w:val="style0"/>
        <w:rPr>
          <w:rFonts w:cs="Times New Roman"/>
          <w:szCs w:val="24"/>
        </w:rPr>
      </w:pPr>
    </w:p>
    <w:p>
      <w:pPr>
        <w:pStyle w:val="style0"/>
        <w:rPr>
          <w:b/>
        </w:rPr>
      </w:pPr>
      <w:r>
        <w:rPr>
          <w:b/>
          <w:szCs w:val="24"/>
        </w:rPr>
        <w:t xml:space="preserve">4.3.6 </w:t>
      </w:r>
      <w:r>
        <w:rPr>
          <w:b/>
        </w:rPr>
        <w:t>Distribution of class teachers by roles</w:t>
      </w:r>
    </w:p>
    <w:bookmarkStart w:id="145" w:name="_Toc26870059"/>
    <w:p>
      <w:pPr>
        <w:pStyle w:val="style0"/>
        <w:rPr/>
      </w:pPr>
      <w:r>
        <w:t>The study established the roles played by class teachers in the schools. Roles played by teachers in school influence the academic outcome of pupils. The results are demonstrated in Table 4.</w:t>
      </w:r>
      <w:r>
        <w:t>10</w:t>
      </w:r>
    </w:p>
    <w:bookmarkStart w:id="146" w:name="_Toc144196186"/>
    <w:p>
      <w:pPr>
        <w:pStyle w:val="style4"/>
        <w:spacing w:before="120" w:after="120"/>
        <w:rPr/>
      </w:pPr>
      <w:r>
        <w:t>Table 4.</w:t>
      </w:r>
      <w:r>
        <w:t>10</w:t>
      </w:r>
      <w:r>
        <w:t xml:space="preserve">: Distribution of class teachers by </w:t>
      </w:r>
      <w:bookmarkEnd w:id="145"/>
      <w:r>
        <w:t>roles</w:t>
      </w:r>
      <w:bookmarkEnd w:id="146"/>
    </w:p>
    <w:tbl>
      <w:tblPr>
        <w:tblW w:w="5000" w:type="pct"/>
        <w:tblLook w:val="04A0" w:firstRow="1" w:lastRow="0" w:firstColumn="1" w:lastColumn="0" w:noHBand="0" w:noVBand="1"/>
      </w:tblPr>
      <w:tblGrid>
        <w:gridCol w:w="4529"/>
        <w:gridCol w:w="2019"/>
        <w:gridCol w:w="1673"/>
      </w:tblGrid>
      <w:tr>
        <w:trPr>
          <w:trHeight w:val="17" w:hRule="atLeast"/>
        </w:trPr>
        <w:tc>
          <w:tcPr>
            <w:tcW w:w="2246" w:type="pct"/>
            <w:tcBorders>
              <w:top w:val="single" w:sz="4" w:space="0" w:color="auto"/>
              <w:left w:val="nil"/>
              <w:bottom w:val="single" w:sz="4" w:space="0" w:color="auto"/>
              <w:right w:val="nil"/>
            </w:tcBorders>
            <w:noWrap/>
            <w:vAlign w:val="bottom"/>
            <w:hideMark/>
          </w:tcPr>
          <w:p>
            <w:pPr>
              <w:pStyle w:val="style0"/>
              <w:spacing w:lineRule="auto" w:line="240"/>
              <w:jc w:val="left"/>
              <w:rPr>
                <w:rFonts w:cs="Times New Roman" w:eastAsia="Times New Roman"/>
                <w:b/>
                <w:bCs/>
                <w:color w:val="000000"/>
                <w:szCs w:val="24"/>
              </w:rPr>
            </w:pPr>
            <w:r>
              <w:rPr>
                <w:rFonts w:cs="Times New Roman" w:eastAsia="Times New Roman"/>
                <w:b/>
                <w:bCs/>
                <w:color w:val="000000"/>
                <w:szCs w:val="24"/>
              </w:rPr>
              <w:t> Designation</w:t>
            </w:r>
          </w:p>
        </w:tc>
        <w:tc>
          <w:tcPr>
            <w:tcW w:w="1482" w:type="pct"/>
            <w:tcBorders>
              <w:top w:val="single" w:sz="4" w:space="0" w:color="auto"/>
              <w:left w:val="nil"/>
              <w:bottom w:val="single" w:sz="4" w:space="0" w:color="auto"/>
              <w:right w:val="nil"/>
            </w:tcBorders>
            <w:noWrap/>
            <w:vAlign w:val="bottom"/>
            <w:hideMark/>
          </w:tcPr>
          <w:p>
            <w:pPr>
              <w:pStyle w:val="style0"/>
              <w:spacing w:lineRule="auto" w:line="240"/>
              <w:jc w:val="center"/>
              <w:rPr>
                <w:rFonts w:cs="Times New Roman" w:eastAsia="Times New Roman"/>
                <w:b/>
                <w:bCs/>
                <w:color w:val="000000"/>
                <w:szCs w:val="24"/>
              </w:rPr>
            </w:pPr>
            <w:r>
              <w:rPr>
                <w:rFonts w:cs="Times New Roman" w:eastAsia="Times New Roman"/>
                <w:b/>
                <w:bCs/>
                <w:color w:val="000000"/>
                <w:szCs w:val="24"/>
              </w:rPr>
              <w:t>Frequency</w:t>
            </w:r>
          </w:p>
        </w:tc>
        <w:tc>
          <w:tcPr>
            <w:tcW w:w="1272" w:type="pct"/>
            <w:tcBorders>
              <w:top w:val="single" w:sz="4" w:space="0" w:color="auto"/>
              <w:left w:val="nil"/>
              <w:bottom w:val="single" w:sz="4" w:space="0" w:color="auto"/>
              <w:right w:val="nil"/>
            </w:tcBorders>
            <w:noWrap/>
            <w:vAlign w:val="bottom"/>
            <w:hideMark/>
          </w:tcPr>
          <w:p>
            <w:pPr>
              <w:pStyle w:val="style0"/>
              <w:spacing w:lineRule="auto" w:line="240"/>
              <w:jc w:val="center"/>
              <w:rPr>
                <w:rFonts w:cs="Times New Roman" w:eastAsia="Times New Roman"/>
                <w:b/>
                <w:bCs/>
                <w:color w:val="000000"/>
                <w:szCs w:val="24"/>
              </w:rPr>
            </w:pPr>
            <w:r>
              <w:rPr>
                <w:rFonts w:cs="Times New Roman" w:eastAsia="Times New Roman"/>
                <w:b/>
                <w:bCs/>
                <w:color w:val="000000"/>
                <w:szCs w:val="24"/>
              </w:rPr>
              <w:t xml:space="preserve">Percent </w:t>
            </w:r>
          </w:p>
        </w:tc>
      </w:tr>
      <w:tr>
        <w:tblPrEx/>
        <w:trPr>
          <w:trHeight w:val="17" w:hRule="atLeast"/>
        </w:trPr>
        <w:tc>
          <w:tcPr>
            <w:tcW w:w="2246" w:type="pct"/>
            <w:tcBorders/>
            <w:noWrap/>
            <w:vAlign w:val="center"/>
            <w:hideMark/>
          </w:tcPr>
          <w:p>
            <w:pPr>
              <w:pStyle w:val="style0"/>
              <w:spacing w:lineRule="auto" w:line="240"/>
              <w:jc w:val="left"/>
              <w:rPr>
                <w:rFonts w:cs="Times New Roman" w:eastAsia="Times New Roman"/>
                <w:color w:val="000000"/>
                <w:szCs w:val="24"/>
              </w:rPr>
            </w:pPr>
            <w:r>
              <w:rPr>
                <w:rFonts w:cs="Times New Roman"/>
                <w:color w:val="000000"/>
                <w:szCs w:val="24"/>
              </w:rPr>
              <w:t xml:space="preserve">Overseeing </w:t>
            </w:r>
            <w:r>
              <w:rPr>
                <w:rFonts w:cs="Times New Roman"/>
                <w:color w:val="000000"/>
                <w:szCs w:val="24"/>
              </w:rPr>
              <w:t>pupils</w:t>
            </w:r>
            <w:r>
              <w:rPr>
                <w:rFonts w:cs="Times New Roman"/>
                <w:color w:val="000000"/>
                <w:szCs w:val="24"/>
              </w:rPr>
              <w:t xml:space="preserve"> academics work </w:t>
            </w:r>
          </w:p>
        </w:tc>
        <w:tc>
          <w:tcPr>
            <w:tcW w:w="148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33</w:t>
            </w:r>
          </w:p>
        </w:tc>
        <w:tc>
          <w:tcPr>
            <w:tcW w:w="127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42.9</w:t>
            </w:r>
          </w:p>
        </w:tc>
      </w:tr>
      <w:tr>
        <w:tblPrEx/>
        <w:trPr>
          <w:trHeight w:val="17" w:hRule="atLeast"/>
        </w:trPr>
        <w:tc>
          <w:tcPr>
            <w:tcW w:w="2246" w:type="pct"/>
            <w:tcBorders/>
            <w:noWrap/>
            <w:vAlign w:val="center"/>
            <w:hideMark/>
          </w:tcPr>
          <w:p>
            <w:pPr>
              <w:pStyle w:val="style0"/>
              <w:spacing w:lineRule="auto" w:line="240"/>
              <w:jc w:val="left"/>
              <w:rPr>
                <w:rFonts w:cs="Times New Roman" w:eastAsia="Times New Roman"/>
                <w:color w:val="000000"/>
                <w:szCs w:val="24"/>
              </w:rPr>
            </w:pPr>
            <w:r>
              <w:rPr>
                <w:rFonts w:cs="Times New Roman"/>
                <w:color w:val="000000"/>
                <w:szCs w:val="24"/>
              </w:rPr>
              <w:t>Head of Guiding and Counseling department</w:t>
            </w:r>
          </w:p>
        </w:tc>
        <w:tc>
          <w:tcPr>
            <w:tcW w:w="148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18</w:t>
            </w:r>
          </w:p>
        </w:tc>
        <w:tc>
          <w:tcPr>
            <w:tcW w:w="127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23.4</w:t>
            </w:r>
          </w:p>
        </w:tc>
      </w:tr>
      <w:tr>
        <w:tblPrEx/>
        <w:trPr>
          <w:trHeight w:val="17" w:hRule="atLeast"/>
        </w:trPr>
        <w:tc>
          <w:tcPr>
            <w:tcW w:w="2246" w:type="pct"/>
            <w:tcBorders/>
            <w:noWrap/>
            <w:vAlign w:val="center"/>
            <w:hideMark/>
          </w:tcPr>
          <w:p>
            <w:pPr>
              <w:pStyle w:val="style0"/>
              <w:autoSpaceDE w:val="false"/>
              <w:autoSpaceDN w:val="false"/>
              <w:adjustRightInd w:val="false"/>
              <w:spacing w:lineRule="auto" w:line="240"/>
              <w:ind w:right="60"/>
              <w:jc w:val="left"/>
              <w:rPr>
                <w:rFonts w:cs="Times New Roman"/>
                <w:color w:val="000000"/>
                <w:szCs w:val="24"/>
              </w:rPr>
            </w:pPr>
            <w:r>
              <w:rPr>
                <w:rFonts w:cs="Times New Roman"/>
                <w:color w:val="000000"/>
                <w:szCs w:val="24"/>
              </w:rPr>
              <w:t>Games department</w:t>
            </w:r>
          </w:p>
        </w:tc>
        <w:tc>
          <w:tcPr>
            <w:tcW w:w="148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16</w:t>
            </w:r>
          </w:p>
        </w:tc>
        <w:tc>
          <w:tcPr>
            <w:tcW w:w="127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20.8</w:t>
            </w:r>
          </w:p>
        </w:tc>
      </w:tr>
      <w:tr>
        <w:tblPrEx/>
        <w:trPr>
          <w:trHeight w:val="17" w:hRule="atLeast"/>
        </w:trPr>
        <w:tc>
          <w:tcPr>
            <w:tcW w:w="2246" w:type="pct"/>
            <w:tcBorders/>
            <w:noWrap/>
            <w:vAlign w:val="center"/>
            <w:hideMark/>
          </w:tcPr>
          <w:p>
            <w:pPr>
              <w:pStyle w:val="style0"/>
              <w:autoSpaceDE w:val="false"/>
              <w:autoSpaceDN w:val="false"/>
              <w:adjustRightInd w:val="false"/>
              <w:spacing w:lineRule="auto" w:line="240"/>
              <w:ind w:right="60"/>
              <w:jc w:val="left"/>
              <w:rPr>
                <w:rFonts w:cs="Times New Roman"/>
                <w:color w:val="000000"/>
                <w:szCs w:val="24"/>
              </w:rPr>
            </w:pPr>
            <w:r>
              <w:rPr>
                <w:rFonts w:cs="Times New Roman"/>
                <w:color w:val="000000"/>
                <w:szCs w:val="24"/>
              </w:rPr>
              <w:t>Any other</w:t>
            </w:r>
          </w:p>
        </w:tc>
        <w:tc>
          <w:tcPr>
            <w:tcW w:w="148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10</w:t>
            </w:r>
          </w:p>
        </w:tc>
        <w:tc>
          <w:tcPr>
            <w:tcW w:w="1272" w:type="pct"/>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13.0</w:t>
            </w:r>
          </w:p>
        </w:tc>
      </w:tr>
      <w:tr>
        <w:tblPrEx/>
        <w:trPr>
          <w:trHeight w:val="17" w:hRule="atLeast"/>
        </w:trPr>
        <w:tc>
          <w:tcPr>
            <w:tcW w:w="2246"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right="60"/>
              <w:jc w:val="left"/>
              <w:rPr>
                <w:rFonts w:cs="Times New Roman"/>
                <w:color w:val="000000"/>
                <w:szCs w:val="24"/>
              </w:rPr>
            </w:pPr>
            <w:r>
              <w:rPr>
                <w:rFonts w:cs="Times New Roman"/>
                <w:color w:val="000000"/>
                <w:szCs w:val="24"/>
              </w:rPr>
              <w:t>Total</w:t>
            </w:r>
          </w:p>
        </w:tc>
        <w:tc>
          <w:tcPr>
            <w:tcW w:w="1482"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77</w:t>
            </w:r>
          </w:p>
        </w:tc>
        <w:tc>
          <w:tcPr>
            <w:tcW w:w="1272" w:type="pct"/>
            <w:tcBorders>
              <w:top w:val="nil"/>
              <w:left w:val="nil"/>
              <w:bottom w:val="single" w:sz="4" w:space="0" w:color="auto"/>
              <w:right w:val="nil"/>
            </w:tcBorders>
            <w:noWrap/>
            <w:vAlign w:val="center"/>
            <w:hideMark/>
          </w:tcPr>
          <w:p>
            <w:pPr>
              <w:pStyle w:val="style0"/>
              <w:autoSpaceDE w:val="false"/>
              <w:autoSpaceDN w:val="false"/>
              <w:adjustRightInd w:val="false"/>
              <w:spacing w:lineRule="auto" w:line="240"/>
              <w:ind w:left="60" w:right="60"/>
              <w:jc w:val="center"/>
              <w:rPr>
                <w:rFonts w:cs="Times New Roman"/>
                <w:color w:val="000000"/>
                <w:szCs w:val="24"/>
              </w:rPr>
            </w:pPr>
            <w:r>
              <w:rPr>
                <w:rFonts w:cs="Times New Roman"/>
                <w:color w:val="000000"/>
                <w:szCs w:val="24"/>
              </w:rPr>
              <w:t>100.0</w:t>
            </w:r>
          </w:p>
        </w:tc>
      </w:tr>
    </w:tbl>
    <w:p>
      <w:pPr>
        <w:pStyle w:val="style0"/>
        <w:rPr>
          <w:color w:val="000000"/>
          <w:sz w:val="22"/>
        </w:rPr>
      </w:pPr>
      <w:r>
        <w:rPr>
          <w:color w:val="000000"/>
          <w:sz w:val="22"/>
        </w:rPr>
        <w:t>Class Teachers</w:t>
      </w:r>
      <w:r>
        <w:rPr>
          <w:color w:val="000000"/>
          <w:sz w:val="22"/>
          <w:vertAlign w:val="subscript"/>
        </w:rPr>
        <w:t xml:space="preserve">= </w:t>
      </w:r>
      <w:r>
        <w:rPr>
          <w:color w:val="000000"/>
          <w:sz w:val="22"/>
        </w:rPr>
        <w:t xml:space="preserve">77    </w:t>
      </w:r>
    </w:p>
    <w:bookmarkStart w:id="147" w:name="_Toc45891309"/>
    <w:p>
      <w:pPr>
        <w:pStyle w:val="style0"/>
        <w:rPr/>
      </w:pPr>
      <w:r>
        <w:t>Table 4.</w:t>
      </w:r>
      <w:r>
        <w:t>10</w:t>
      </w:r>
      <w:r>
        <w:t xml:space="preserve"> indicates that most teachers involved in the research were class teachers and mostly participated in overseeing pupils’ academic work. Some of the class teachers guided and counseled pupils, while others undertook students’ practice in co-curricular activities, particularly games. Other roles played by teachers included mentorship and career guidance. </w:t>
      </w:r>
    </w:p>
    <w:bookmarkStart w:id="148" w:name="_Toc144283209"/>
    <w:p>
      <w:pPr>
        <w:pStyle w:val="style2"/>
        <w:rPr/>
      </w:pPr>
      <w:r>
        <w:t>4.</w:t>
      </w:r>
      <w:r>
        <w:t>5</w:t>
      </w:r>
      <w:r>
        <w:t xml:space="preserve"> </w:t>
      </w:r>
      <w:r>
        <w:rPr>
          <w:shd w:val="clear" w:color="auto" w:fill="ffffff"/>
        </w:rPr>
        <w:t>Pupils’</w:t>
      </w:r>
      <w:r>
        <w:rPr>
          <w:shd w:val="clear" w:color="auto" w:fill="ffffff"/>
        </w:rPr>
        <w:t xml:space="preserve"> </w:t>
      </w:r>
      <w:r>
        <w:rPr>
          <w:shd w:val="clear" w:color="auto" w:fill="ffffff"/>
        </w:rPr>
        <w:t>academic achievement of public primary schools</w:t>
      </w:r>
      <w:bookmarkEnd w:id="147"/>
      <w:bookmarkEnd w:id="148"/>
    </w:p>
    <w:p>
      <w:pPr>
        <w:pStyle w:val="style0"/>
        <w:rPr/>
      </w:pPr>
      <w:r>
        <w:t xml:space="preserve">The study sought to understand how pupils academically perform in their respective schools. Parent representatives were asked to indicate the level of </w:t>
      </w:r>
      <w:r>
        <w:t>academic achievement</w:t>
      </w:r>
      <w:r>
        <w:t xml:space="preserve"> of their children. Academic results were extracted from pupils’ academic reports and school records. Results in Table 4.10 show academic results for 187 pupils across Karaba Zone schools from </w:t>
      </w:r>
      <w:r>
        <w:t>2021</w:t>
      </w:r>
      <w:r>
        <w:t>-2019.</w:t>
      </w:r>
    </w:p>
    <w:p>
      <w:pPr>
        <w:pStyle w:val="style0"/>
        <w:rPr/>
      </w:pPr>
    </w:p>
    <w:p>
      <w:pPr>
        <w:pStyle w:val="style0"/>
        <w:rPr/>
      </w:pPr>
    </w:p>
    <w:p>
      <w:pPr>
        <w:pStyle w:val="style0"/>
        <w:rPr/>
      </w:pPr>
    </w:p>
    <w:p>
      <w:pPr>
        <w:pStyle w:val="style0"/>
        <w:rPr/>
      </w:pPr>
    </w:p>
    <w:bookmarkStart w:id="149" w:name="_Toc144196187"/>
    <w:p>
      <w:pPr>
        <w:pStyle w:val="style4"/>
        <w:spacing w:before="120" w:after="120"/>
        <w:rPr>
          <w:rStyle w:val="style4101"/>
        </w:rPr>
      </w:pPr>
      <w:r>
        <w:rPr>
          <w:shd w:val="clear" w:color="auto" w:fill="ffffff"/>
        </w:rPr>
        <w:t>Table 4.1</w:t>
      </w:r>
      <w:r>
        <w:rPr>
          <w:shd w:val="clear" w:color="auto" w:fill="ffffff"/>
        </w:rPr>
        <w:t>1</w:t>
      </w:r>
      <w:r>
        <w:rPr>
          <w:shd w:val="clear" w:color="auto" w:fill="ffffff"/>
        </w:rPr>
        <w:t xml:space="preserve">: </w:t>
      </w:r>
      <w:r>
        <w:rPr>
          <w:shd w:val="clear" w:color="auto" w:fill="ffffff"/>
        </w:rPr>
        <w:t>Pupils’</w:t>
      </w:r>
      <w:r>
        <w:rPr>
          <w:shd w:val="clear" w:color="auto" w:fill="ffffff"/>
        </w:rPr>
        <w:t xml:space="preserve"> Academic Achievement of Public Primary Schools</w:t>
      </w:r>
      <w:bookmarkEnd w:id="14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7"/>
        <w:gridCol w:w="1115"/>
        <w:gridCol w:w="1637"/>
        <w:gridCol w:w="1345"/>
        <w:gridCol w:w="1304"/>
        <w:gridCol w:w="1703"/>
      </w:tblGrid>
      <w:tr>
        <w:trPr>
          <w:trHeight w:val="300" w:hRule="atLeast"/>
        </w:trPr>
        <w:tc>
          <w:tcPr>
            <w:tcW w:w="67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Cs w:val="24"/>
              </w:rPr>
            </w:pPr>
            <w:r>
              <w:rPr>
                <w:rFonts w:cs="Times New Roman" w:eastAsia="Times New Roman"/>
                <w:b/>
                <w:color w:val="000000"/>
                <w:szCs w:val="24"/>
              </w:rPr>
              <w:t>Year</w:t>
            </w:r>
          </w:p>
        </w:tc>
        <w:tc>
          <w:tcPr>
            <w:tcW w:w="67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b/>
                <w:color w:val="000000"/>
                <w:szCs w:val="24"/>
              </w:rPr>
            </w:pPr>
            <w:r>
              <w:rPr>
                <w:rFonts w:cs="Times New Roman" w:eastAsia="Times New Roman"/>
                <w:b/>
                <w:color w:val="000000"/>
                <w:szCs w:val="24"/>
              </w:rPr>
              <w:t>Term</w:t>
            </w:r>
          </w:p>
        </w:tc>
        <w:tc>
          <w:tcPr>
            <w:tcW w:w="9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color w:val="000000"/>
                <w:szCs w:val="24"/>
              </w:rPr>
            </w:pPr>
            <w:r>
              <w:rPr>
                <w:rFonts w:cs="Times New Roman" w:eastAsia="Times New Roman"/>
                <w:b/>
                <w:color w:val="000000"/>
                <w:szCs w:val="24"/>
              </w:rPr>
              <w:t>Mathematics</w:t>
            </w:r>
          </w:p>
        </w:tc>
        <w:tc>
          <w:tcPr>
            <w:tcW w:w="8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color w:val="000000"/>
                <w:szCs w:val="24"/>
              </w:rPr>
            </w:pPr>
            <w:r>
              <w:rPr>
                <w:rFonts w:cs="Times New Roman" w:eastAsia="Times New Roman"/>
                <w:b/>
                <w:color w:val="000000"/>
                <w:szCs w:val="24"/>
              </w:rPr>
              <w:t>Languages</w:t>
            </w:r>
          </w:p>
        </w:tc>
        <w:tc>
          <w:tcPr>
            <w:tcW w:w="79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color w:val="000000"/>
                <w:szCs w:val="24"/>
              </w:rPr>
            </w:pPr>
            <w:r>
              <w:rPr>
                <w:rFonts w:cs="Times New Roman" w:eastAsia="Times New Roman"/>
                <w:b/>
                <w:color w:val="000000"/>
                <w:szCs w:val="24"/>
              </w:rPr>
              <w:t>Sciences</w:t>
            </w:r>
          </w:p>
        </w:tc>
        <w:tc>
          <w:tcPr>
            <w:tcW w:w="103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color w:val="000000"/>
                <w:szCs w:val="24"/>
              </w:rPr>
            </w:pPr>
            <w:r>
              <w:rPr>
                <w:rFonts w:cs="Times New Roman" w:eastAsia="Times New Roman"/>
                <w:b/>
                <w:color w:val="000000"/>
                <w:szCs w:val="24"/>
              </w:rPr>
              <w:t>Social sciences</w:t>
            </w:r>
          </w:p>
        </w:tc>
      </w:tr>
      <w:tr>
        <w:tblPrEx/>
        <w:trPr>
          <w:trHeight w:val="300" w:hRule="atLeast"/>
        </w:trPr>
        <w:tc>
          <w:tcPr>
            <w:tcW w:w="674" w:type="pct"/>
            <w:vMerge w:val="restar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2021</w:t>
            </w:r>
          </w:p>
        </w:tc>
        <w:tc>
          <w:tcPr>
            <w:tcW w:w="67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Term 1</w:t>
            </w:r>
          </w:p>
        </w:tc>
        <w:tc>
          <w:tcPr>
            <w:tcW w:w="9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37.6</w:t>
            </w:r>
          </w:p>
        </w:tc>
        <w:tc>
          <w:tcPr>
            <w:tcW w:w="8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39.7</w:t>
            </w:r>
          </w:p>
        </w:tc>
        <w:tc>
          <w:tcPr>
            <w:tcW w:w="79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40.9</w:t>
            </w:r>
          </w:p>
        </w:tc>
        <w:tc>
          <w:tcPr>
            <w:tcW w:w="103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40.3</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Term 2</w:t>
            </w:r>
          </w:p>
        </w:tc>
        <w:tc>
          <w:tcPr>
            <w:tcW w:w="9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39.1</w:t>
            </w:r>
          </w:p>
        </w:tc>
        <w:tc>
          <w:tcPr>
            <w:tcW w:w="8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40.3</w:t>
            </w:r>
          </w:p>
        </w:tc>
        <w:tc>
          <w:tcPr>
            <w:tcW w:w="79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40.9</w:t>
            </w:r>
          </w:p>
        </w:tc>
        <w:tc>
          <w:tcPr>
            <w:tcW w:w="103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42.7</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Term 3</w:t>
            </w:r>
          </w:p>
        </w:tc>
        <w:tc>
          <w:tcPr>
            <w:tcW w:w="9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37.5</w:t>
            </w:r>
          </w:p>
        </w:tc>
        <w:tc>
          <w:tcPr>
            <w:tcW w:w="8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38.8</w:t>
            </w:r>
          </w:p>
        </w:tc>
        <w:tc>
          <w:tcPr>
            <w:tcW w:w="79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41.7</w:t>
            </w:r>
          </w:p>
        </w:tc>
        <w:tc>
          <w:tcPr>
            <w:tcW w:w="103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45.5</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b/>
                <w:bCs/>
                <w:color w:val="000000"/>
                <w:szCs w:val="24"/>
              </w:rPr>
            </w:pPr>
            <w:r>
              <w:rPr>
                <w:rFonts w:cs="Times New Roman" w:eastAsia="Times New Roman"/>
                <w:b/>
                <w:bCs/>
                <w:color w:val="000000"/>
                <w:szCs w:val="24"/>
              </w:rPr>
              <w:t>Annual</w:t>
            </w:r>
          </w:p>
          <w:p>
            <w:pPr>
              <w:pStyle w:val="style0"/>
              <w:spacing w:before="0" w:after="0" w:lineRule="auto" w:line="240"/>
              <w:jc w:val="left"/>
              <w:rPr>
                <w:rFonts w:cs="Times New Roman" w:eastAsia="Times New Roman"/>
                <w:b/>
                <w:bCs/>
                <w:color w:val="000000"/>
                <w:szCs w:val="24"/>
              </w:rPr>
            </w:pPr>
            <w:r>
              <w:rPr>
                <w:rFonts w:cs="Times New Roman" w:eastAsia="Times New Roman"/>
                <w:b/>
                <w:bCs/>
                <w:color w:val="000000"/>
                <w:szCs w:val="24"/>
              </w:rPr>
              <w:t>Average</w:t>
            </w:r>
          </w:p>
        </w:tc>
        <w:tc>
          <w:tcPr>
            <w:tcW w:w="9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38.07</w:t>
            </w:r>
          </w:p>
        </w:tc>
        <w:tc>
          <w:tcPr>
            <w:tcW w:w="8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39.60</w:t>
            </w:r>
          </w:p>
        </w:tc>
        <w:tc>
          <w:tcPr>
            <w:tcW w:w="79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41.17</w:t>
            </w:r>
          </w:p>
        </w:tc>
        <w:tc>
          <w:tcPr>
            <w:tcW w:w="103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42.83</w:t>
            </w:r>
          </w:p>
        </w:tc>
      </w:tr>
      <w:tr>
        <w:tblPrEx/>
        <w:trPr>
          <w:trHeight w:val="300" w:hRule="atLeast"/>
        </w:trPr>
        <w:tc>
          <w:tcPr>
            <w:tcW w:w="674" w:type="pct"/>
            <w:vMerge w:val="restar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202</w:t>
            </w:r>
            <w:r>
              <w:rPr>
                <w:rFonts w:cs="Times New Roman" w:eastAsia="Times New Roman"/>
                <w:color w:val="000000"/>
                <w:szCs w:val="24"/>
              </w:rPr>
              <w:t>0</w:t>
            </w:r>
          </w:p>
        </w:tc>
        <w:tc>
          <w:tcPr>
            <w:tcW w:w="67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Term 1</w:t>
            </w:r>
          </w:p>
        </w:tc>
        <w:tc>
          <w:tcPr>
            <w:tcW w:w="99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38.4</w:t>
            </w:r>
          </w:p>
        </w:tc>
        <w:tc>
          <w:tcPr>
            <w:tcW w:w="81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38.5</w:t>
            </w:r>
          </w:p>
        </w:tc>
        <w:tc>
          <w:tcPr>
            <w:tcW w:w="794"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37.5</w:t>
            </w:r>
          </w:p>
        </w:tc>
        <w:tc>
          <w:tcPr>
            <w:tcW w:w="103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43.9</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Term 2</w:t>
            </w:r>
          </w:p>
        </w:tc>
        <w:tc>
          <w:tcPr>
            <w:tcW w:w="99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38.8</w:t>
            </w:r>
          </w:p>
        </w:tc>
        <w:tc>
          <w:tcPr>
            <w:tcW w:w="81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40.5</w:t>
            </w:r>
          </w:p>
        </w:tc>
        <w:tc>
          <w:tcPr>
            <w:tcW w:w="794"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36.8</w:t>
            </w:r>
          </w:p>
        </w:tc>
        <w:tc>
          <w:tcPr>
            <w:tcW w:w="103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46.2</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Term 3</w:t>
            </w:r>
          </w:p>
        </w:tc>
        <w:tc>
          <w:tcPr>
            <w:tcW w:w="99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35.1</w:t>
            </w:r>
          </w:p>
        </w:tc>
        <w:tc>
          <w:tcPr>
            <w:tcW w:w="81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41.3</w:t>
            </w:r>
          </w:p>
        </w:tc>
        <w:tc>
          <w:tcPr>
            <w:tcW w:w="794"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37.7</w:t>
            </w:r>
          </w:p>
        </w:tc>
        <w:tc>
          <w:tcPr>
            <w:tcW w:w="103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44.6</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left"/>
              <w:rPr>
                <w:rFonts w:cs="Times New Roman" w:eastAsia="Times New Roman"/>
                <w:b/>
                <w:bCs/>
                <w:color w:val="000000"/>
                <w:szCs w:val="24"/>
              </w:rPr>
            </w:pPr>
            <w:r>
              <w:rPr>
                <w:rFonts w:cs="Times New Roman" w:eastAsia="Times New Roman"/>
                <w:b/>
                <w:bCs/>
                <w:color w:val="000000"/>
                <w:szCs w:val="24"/>
              </w:rPr>
              <w:t>Annual</w:t>
            </w:r>
          </w:p>
          <w:p>
            <w:pPr>
              <w:pStyle w:val="style0"/>
              <w:spacing w:before="0" w:after="0" w:lineRule="auto" w:line="240"/>
              <w:rPr>
                <w:rFonts w:cs="Times New Roman" w:eastAsia="Times New Roman"/>
                <w:color w:val="000000"/>
                <w:szCs w:val="24"/>
              </w:rPr>
            </w:pPr>
            <w:r>
              <w:rPr>
                <w:rFonts w:cs="Times New Roman" w:eastAsia="Times New Roman"/>
                <w:b/>
                <w:bCs/>
                <w:color w:val="000000"/>
                <w:szCs w:val="24"/>
              </w:rPr>
              <w:t>Average</w:t>
            </w:r>
          </w:p>
        </w:tc>
        <w:tc>
          <w:tcPr>
            <w:tcW w:w="99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37.43</w:t>
            </w:r>
          </w:p>
        </w:tc>
        <w:tc>
          <w:tcPr>
            <w:tcW w:w="81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40.10</w:t>
            </w:r>
          </w:p>
        </w:tc>
        <w:tc>
          <w:tcPr>
            <w:tcW w:w="794"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37.33</w:t>
            </w:r>
          </w:p>
        </w:tc>
        <w:tc>
          <w:tcPr>
            <w:tcW w:w="103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44.90</w:t>
            </w:r>
          </w:p>
        </w:tc>
      </w:tr>
      <w:tr>
        <w:tblPrEx/>
        <w:trPr>
          <w:trHeight w:val="300" w:hRule="atLeast"/>
        </w:trPr>
        <w:tc>
          <w:tcPr>
            <w:tcW w:w="674" w:type="pct"/>
            <w:vMerge w:val="restar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2019</w:t>
            </w:r>
          </w:p>
        </w:tc>
        <w:tc>
          <w:tcPr>
            <w:tcW w:w="67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Term 1</w:t>
            </w:r>
          </w:p>
        </w:tc>
        <w:tc>
          <w:tcPr>
            <w:tcW w:w="9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38.3</w:t>
            </w:r>
          </w:p>
        </w:tc>
        <w:tc>
          <w:tcPr>
            <w:tcW w:w="8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39.2</w:t>
            </w:r>
          </w:p>
        </w:tc>
        <w:tc>
          <w:tcPr>
            <w:tcW w:w="79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38.6</w:t>
            </w:r>
          </w:p>
        </w:tc>
        <w:tc>
          <w:tcPr>
            <w:tcW w:w="103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42.5</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Term 2</w:t>
            </w:r>
          </w:p>
        </w:tc>
        <w:tc>
          <w:tcPr>
            <w:tcW w:w="9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35.4</w:t>
            </w:r>
          </w:p>
        </w:tc>
        <w:tc>
          <w:tcPr>
            <w:tcW w:w="8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40.1</w:t>
            </w:r>
          </w:p>
        </w:tc>
        <w:tc>
          <w:tcPr>
            <w:tcW w:w="79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39.8</w:t>
            </w:r>
          </w:p>
        </w:tc>
        <w:tc>
          <w:tcPr>
            <w:tcW w:w="103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45.2</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Term 3</w:t>
            </w:r>
          </w:p>
        </w:tc>
        <w:tc>
          <w:tcPr>
            <w:tcW w:w="9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38.7</w:t>
            </w:r>
          </w:p>
        </w:tc>
        <w:tc>
          <w:tcPr>
            <w:tcW w:w="8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39.3</w:t>
            </w:r>
          </w:p>
        </w:tc>
        <w:tc>
          <w:tcPr>
            <w:tcW w:w="79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41.7</w:t>
            </w:r>
          </w:p>
        </w:tc>
        <w:tc>
          <w:tcPr>
            <w:tcW w:w="103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Cs w:val="24"/>
              </w:rPr>
            </w:pPr>
            <w:r>
              <w:rPr>
                <w:rFonts w:cs="Times New Roman" w:eastAsia="Times New Roman"/>
                <w:color w:val="000000"/>
                <w:szCs w:val="24"/>
              </w:rPr>
              <w:t>40.9</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b/>
                <w:bCs/>
                <w:color w:val="000000"/>
                <w:szCs w:val="24"/>
              </w:rPr>
            </w:pPr>
            <w:r>
              <w:rPr>
                <w:rFonts w:cs="Times New Roman" w:eastAsia="Times New Roman"/>
                <w:b/>
                <w:bCs/>
                <w:color w:val="000000"/>
                <w:szCs w:val="24"/>
              </w:rPr>
              <w:t>Annual</w:t>
            </w:r>
          </w:p>
          <w:p>
            <w:pPr>
              <w:pStyle w:val="style0"/>
              <w:spacing w:before="0" w:after="0" w:lineRule="auto" w:line="240"/>
              <w:jc w:val="left"/>
              <w:rPr>
                <w:rFonts w:cs="Times New Roman" w:eastAsia="Times New Roman"/>
                <w:b/>
                <w:bCs/>
                <w:color w:val="000000"/>
                <w:szCs w:val="24"/>
              </w:rPr>
            </w:pPr>
            <w:r>
              <w:rPr>
                <w:rFonts w:cs="Times New Roman" w:eastAsia="Times New Roman"/>
                <w:b/>
                <w:bCs/>
                <w:color w:val="000000"/>
                <w:szCs w:val="24"/>
              </w:rPr>
              <w:t>Average</w:t>
            </w:r>
          </w:p>
        </w:tc>
        <w:tc>
          <w:tcPr>
            <w:tcW w:w="9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37.47</w:t>
            </w:r>
          </w:p>
        </w:tc>
        <w:tc>
          <w:tcPr>
            <w:tcW w:w="8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39.53</w:t>
            </w:r>
          </w:p>
        </w:tc>
        <w:tc>
          <w:tcPr>
            <w:tcW w:w="79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40.03</w:t>
            </w:r>
          </w:p>
        </w:tc>
        <w:tc>
          <w:tcPr>
            <w:tcW w:w="103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42.87</w:t>
            </w:r>
          </w:p>
        </w:tc>
      </w:tr>
      <w:tr>
        <w:tblPrEx/>
        <w:trPr>
          <w:trHeight w:val="300" w:hRule="atLeast"/>
        </w:trPr>
        <w:tc>
          <w:tcPr>
            <w:tcW w:w="0" w:type="auto"/>
            <w:vMerge w:val="restart"/>
            <w:tcBorders>
              <w:top w:val="single" w:sz="4" w:space="0" w:color="auto"/>
              <w:left w:val="single" w:sz="4" w:space="0" w:color="auto"/>
              <w:right w:val="single" w:sz="4" w:space="0" w:color="auto"/>
            </w:tcBorders>
            <w:vAlign w:val="bottom"/>
          </w:tcPr>
          <w:p>
            <w:pPr>
              <w:pStyle w:val="style0"/>
              <w:spacing w:before="0" w:after="0" w:lineRule="auto" w:line="240"/>
              <w:jc w:val="left"/>
              <w:rPr>
                <w:rFonts w:cs="Times New Roman" w:eastAsia="Times New Roman"/>
                <w:color w:val="000000"/>
                <w:szCs w:val="24"/>
              </w:rPr>
            </w:pPr>
            <w:r>
              <w:rPr>
                <w:rFonts w:cs="Times New Roman" w:eastAsia="Times New Roman"/>
                <w:color w:val="000000"/>
                <w:szCs w:val="24"/>
              </w:rPr>
              <w:t>2018</w:t>
            </w:r>
          </w:p>
        </w:tc>
        <w:tc>
          <w:tcPr>
            <w:tcW w:w="67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left"/>
              <w:rPr>
                <w:rFonts w:cs="Times New Roman" w:eastAsia="Times New Roman"/>
                <w:b/>
                <w:bCs/>
                <w:color w:val="000000"/>
                <w:szCs w:val="24"/>
              </w:rPr>
            </w:pPr>
            <w:r>
              <w:rPr>
                <w:rFonts w:cs="Times New Roman" w:eastAsia="Times New Roman"/>
                <w:color w:val="000000"/>
                <w:szCs w:val="24"/>
              </w:rPr>
              <w:t>Term 1</w:t>
            </w:r>
          </w:p>
        </w:tc>
        <w:tc>
          <w:tcPr>
            <w:tcW w:w="99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40</w:t>
            </w:r>
          </w:p>
        </w:tc>
        <w:tc>
          <w:tcPr>
            <w:tcW w:w="81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38.9</w:t>
            </w:r>
          </w:p>
        </w:tc>
        <w:tc>
          <w:tcPr>
            <w:tcW w:w="794"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40.1</w:t>
            </w:r>
          </w:p>
        </w:tc>
        <w:tc>
          <w:tcPr>
            <w:tcW w:w="103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46.1</w:t>
            </w:r>
          </w:p>
        </w:tc>
      </w:tr>
      <w:tr>
        <w:tblPrEx/>
        <w:trPr>
          <w:trHeight w:val="300" w:hRule="atLeast"/>
        </w:trPr>
        <w:tc>
          <w:tcPr>
            <w:tcW w:w="0" w:type="auto"/>
            <w:vMerge w:val="continue"/>
            <w:tcBorders>
              <w:left w:val="single" w:sz="4" w:space="0" w:color="auto"/>
              <w:right w:val="single" w:sz="4" w:space="0" w:color="auto"/>
            </w:tcBorders>
            <w:vAlign w:val="center"/>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left"/>
              <w:rPr>
                <w:rFonts w:cs="Times New Roman" w:eastAsia="Times New Roman"/>
                <w:b/>
                <w:bCs/>
                <w:color w:val="000000"/>
                <w:szCs w:val="24"/>
              </w:rPr>
            </w:pPr>
            <w:r>
              <w:rPr>
                <w:rFonts w:cs="Times New Roman" w:eastAsia="Times New Roman"/>
                <w:color w:val="000000"/>
                <w:szCs w:val="24"/>
              </w:rPr>
              <w:t>Term 2</w:t>
            </w:r>
          </w:p>
        </w:tc>
        <w:tc>
          <w:tcPr>
            <w:tcW w:w="99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39.9</w:t>
            </w:r>
          </w:p>
        </w:tc>
        <w:tc>
          <w:tcPr>
            <w:tcW w:w="81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41.3</w:t>
            </w:r>
          </w:p>
        </w:tc>
        <w:tc>
          <w:tcPr>
            <w:tcW w:w="794"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42.5</w:t>
            </w:r>
          </w:p>
        </w:tc>
        <w:tc>
          <w:tcPr>
            <w:tcW w:w="103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43.6</w:t>
            </w:r>
          </w:p>
        </w:tc>
      </w:tr>
      <w:tr>
        <w:tblPrEx/>
        <w:trPr>
          <w:trHeight w:val="300" w:hRule="atLeast"/>
        </w:trPr>
        <w:tc>
          <w:tcPr>
            <w:tcW w:w="0" w:type="auto"/>
            <w:vMerge w:val="continue"/>
            <w:tcBorders>
              <w:left w:val="single" w:sz="4" w:space="0" w:color="auto"/>
              <w:right w:val="single" w:sz="4" w:space="0" w:color="auto"/>
            </w:tcBorders>
            <w:vAlign w:val="center"/>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left"/>
              <w:rPr>
                <w:rFonts w:cs="Times New Roman" w:eastAsia="Times New Roman"/>
                <w:b/>
                <w:bCs/>
                <w:color w:val="000000"/>
                <w:szCs w:val="24"/>
              </w:rPr>
            </w:pPr>
            <w:r>
              <w:rPr>
                <w:rFonts w:cs="Times New Roman" w:eastAsia="Times New Roman"/>
                <w:color w:val="000000"/>
                <w:szCs w:val="24"/>
              </w:rPr>
              <w:t>Term 3</w:t>
            </w:r>
          </w:p>
        </w:tc>
        <w:tc>
          <w:tcPr>
            <w:tcW w:w="99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39.7</w:t>
            </w:r>
          </w:p>
        </w:tc>
        <w:tc>
          <w:tcPr>
            <w:tcW w:w="81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39.4</w:t>
            </w:r>
          </w:p>
        </w:tc>
        <w:tc>
          <w:tcPr>
            <w:tcW w:w="794"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42.4</w:t>
            </w:r>
          </w:p>
        </w:tc>
        <w:tc>
          <w:tcPr>
            <w:tcW w:w="103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color w:val="000000"/>
                <w:szCs w:val="24"/>
              </w:rPr>
              <w:t>40.4</w:t>
            </w:r>
          </w:p>
        </w:tc>
      </w:tr>
      <w:tr>
        <w:tblPrEx/>
        <w:trPr>
          <w:trHeight w:val="300" w:hRule="atLeast"/>
        </w:trPr>
        <w:tc>
          <w:tcPr>
            <w:tcW w:w="0" w:type="auto"/>
            <w:vMerge w:val="continue"/>
            <w:tcBorders>
              <w:left w:val="single" w:sz="4" w:space="0" w:color="auto"/>
              <w:bottom w:val="single" w:sz="4" w:space="0" w:color="auto"/>
              <w:right w:val="single" w:sz="4" w:space="0" w:color="auto"/>
            </w:tcBorders>
            <w:vAlign w:val="center"/>
          </w:tcPr>
          <w:p>
            <w:pPr>
              <w:pStyle w:val="style0"/>
              <w:spacing w:before="0" w:after="0" w:lineRule="auto" w:line="240"/>
              <w:jc w:val="left"/>
              <w:rPr>
                <w:rFonts w:cs="Times New Roman" w:eastAsia="Times New Roman"/>
                <w:color w:val="000000"/>
                <w:szCs w:val="24"/>
              </w:rPr>
            </w:pPr>
          </w:p>
        </w:tc>
        <w:tc>
          <w:tcPr>
            <w:tcW w:w="67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left"/>
              <w:rPr>
                <w:rFonts w:cs="Times New Roman" w:eastAsia="Times New Roman"/>
                <w:b/>
                <w:bCs/>
                <w:color w:val="000000"/>
                <w:szCs w:val="24"/>
              </w:rPr>
            </w:pPr>
          </w:p>
        </w:tc>
        <w:tc>
          <w:tcPr>
            <w:tcW w:w="99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39.87</w:t>
            </w:r>
          </w:p>
        </w:tc>
        <w:tc>
          <w:tcPr>
            <w:tcW w:w="819"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39.87</w:t>
            </w:r>
          </w:p>
        </w:tc>
        <w:tc>
          <w:tcPr>
            <w:tcW w:w="794"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41.67</w:t>
            </w:r>
          </w:p>
        </w:tc>
        <w:tc>
          <w:tcPr>
            <w:tcW w:w="1037" w:type="pct"/>
            <w:tcBorders>
              <w:top w:val="single" w:sz="4" w:space="0" w:color="auto"/>
              <w:left w:val="single" w:sz="4" w:space="0" w:color="auto"/>
              <w:bottom w:val="single" w:sz="4" w:space="0" w:color="auto"/>
              <w:right w:val="single" w:sz="4" w:space="0" w:color="auto"/>
            </w:tcBorders>
            <w:noWrap/>
            <w:vAlign w:val="bottom"/>
          </w:tcPr>
          <w:p>
            <w:pPr>
              <w:pStyle w:val="style0"/>
              <w:spacing w:before="0" w:after="0" w:lineRule="auto" w:line="240"/>
              <w:jc w:val="center"/>
              <w:rPr>
                <w:rFonts w:cs="Times New Roman" w:eastAsia="Times New Roman"/>
                <w:b/>
                <w:bCs/>
                <w:color w:val="000000"/>
                <w:szCs w:val="24"/>
              </w:rPr>
            </w:pPr>
            <w:r>
              <w:rPr>
                <w:rFonts w:cs="Times New Roman" w:eastAsia="Times New Roman"/>
                <w:b/>
                <w:bCs/>
                <w:color w:val="000000"/>
                <w:szCs w:val="24"/>
              </w:rPr>
              <w:t>43.37</w:t>
            </w:r>
          </w:p>
        </w:tc>
      </w:tr>
      <w:bookmarkStart w:id="150" w:name="_Toc467588533"/>
    </w:tbl>
    <w:p>
      <w:pPr>
        <w:pStyle w:val="style0"/>
        <w:rPr/>
      </w:pPr>
      <w:r>
        <w:t xml:space="preserve">The annual average academic results for the sampled pupils were 37.43 in mathematics, 40.1 in languages, 37.33 in science, and 44.90 in social sciences. In </w:t>
      </w:r>
      <w:r>
        <w:t>2021</w:t>
      </w:r>
      <w:r>
        <w:t xml:space="preserve">, the annual average academic results for mathematics </w:t>
      </w:r>
      <w:r>
        <w:t>was</w:t>
      </w:r>
      <w:r>
        <w:t xml:space="preserve"> 38.07, a slight improvement from the previous year, 39.60 in languages implying a slight drop compared to the year </w:t>
      </w:r>
      <w:r>
        <w:t>2021</w:t>
      </w:r>
      <w:r>
        <w:t xml:space="preserve">, 41.17 in science, a slight improvement, and 42.83 in social sciences, a slight drop compared to </w:t>
      </w:r>
      <w:r>
        <w:t>2021</w:t>
      </w:r>
      <w:r>
        <w:t xml:space="preserve">. Further, the academic results of the sampled pupils showed a slight improvement in math to 39.87 in 2018, with an average of 39.87 in English, 41.67 in </w:t>
      </w:r>
      <w:r>
        <w:t>Sciences</w:t>
      </w:r>
      <w:r>
        <w:t xml:space="preserve">, and 43.37 in Social sciences. In 2019, the annual </w:t>
      </w:r>
      <w:r>
        <w:t>academic achievement</w:t>
      </w:r>
      <w:r>
        <w:t xml:space="preserve"> of the sampled pupils dropped significantly across the four main academic disciplines. The sampled academic reports show that math, languages, and sciences performance is poor compared to social sciences. In the Focus Group Discussion with pupils, 8th and 9th note:</w:t>
      </w:r>
    </w:p>
    <w:p>
      <w:pPr>
        <w:pStyle w:val="style0"/>
        <w:ind w:left="720"/>
        <w:rPr>
          <w:szCs w:val="24"/>
        </w:rPr>
      </w:pPr>
      <w:r>
        <w:rPr>
          <w:szCs w:val="24"/>
        </w:rPr>
        <w:t xml:space="preserve">Pupil 8: ‘My academic records have been good. In </w:t>
      </w:r>
      <w:r>
        <w:rPr>
          <w:szCs w:val="24"/>
        </w:rPr>
        <w:t>2021</w:t>
      </w:r>
      <w:r>
        <w:rPr>
          <w:szCs w:val="24"/>
        </w:rPr>
        <w:t xml:space="preserve">, </w:t>
      </w:r>
      <w:r>
        <w:rPr>
          <w:szCs w:val="24"/>
        </w:rPr>
        <w:t>2021</w:t>
      </w:r>
      <w:r>
        <w:rPr>
          <w:szCs w:val="24"/>
        </w:rPr>
        <w:t xml:space="preserve"> is scored 343/500 and 369/500 marks. However, in 2018 and 2019 my academics dropped having scores 339/500 and 335/500 marks respectively.’</w:t>
      </w:r>
    </w:p>
    <w:p>
      <w:pPr>
        <w:pStyle w:val="style0"/>
        <w:ind w:left="720"/>
        <w:rPr>
          <w:szCs w:val="24"/>
        </w:rPr>
      </w:pPr>
      <w:r>
        <w:rPr>
          <w:szCs w:val="24"/>
        </w:rPr>
        <w:t>Pupil 9: ‘For the last three years I have been scoring lower than 250 marks. However, I intend to work hard by asking my parents to buy me extra reading materials.’</w:t>
      </w:r>
    </w:p>
    <w:p>
      <w:pPr>
        <w:pStyle w:val="style0"/>
        <w:rPr/>
      </w:pPr>
      <w:r>
        <w:t xml:space="preserve">Pupils’ performance fluctuates, which may depend on their intellectual capabilities. Moreover, socio-economic factors may also affect pupils’ </w:t>
      </w:r>
      <w:r>
        <w:t>academic achievement</w:t>
      </w:r>
      <w:r>
        <w:t xml:space="preserve">, including household income and parents’ commitment to supporting their studies. It is also important to note that pupils’ school performance may include other co-curricular activities, including football, athletics, and music. Games and other activities in school (not including academics) play a significant part in refreshing pupils’ brains and keeping them healthy. Field exercises and sports may enhance pupils’ cognitive growth, stimulating the brain and capturing all that is learned in class. In an interview with head teachers; head teacher 2 indicated that; </w:t>
      </w:r>
    </w:p>
    <w:p>
      <w:pPr>
        <w:pStyle w:val="style0"/>
        <w:ind w:left="720"/>
        <w:rPr>
          <w:rFonts w:cs="Times New Roman"/>
          <w:i/>
          <w:szCs w:val="24"/>
        </w:rPr>
      </w:pPr>
      <w:r>
        <w:t xml:space="preserve">‘There are significant </w:t>
      </w:r>
      <w:r>
        <w:t>socio-economic</w:t>
      </w:r>
      <w:r>
        <w:t xml:space="preserve"> factors affecting </w:t>
      </w:r>
      <w:r>
        <w:t>academic achievement</w:t>
      </w:r>
      <w:r>
        <w:t xml:space="preserve"> of pupils in this school. Some of the notable factors include parents’ educational level, parents’ occupation and financial state of parents. Parents’ occupation or financial state finance is the avenue through which the students’ school expenses are paid’ </w:t>
      </w:r>
      <w:r>
        <w:rPr>
          <w:rFonts w:cs="Times New Roman"/>
          <w:szCs w:val="24"/>
        </w:rPr>
        <w:t>Head teacher 2, [Key Informant Interviewee, 2021].</w:t>
      </w:r>
    </w:p>
    <w:bookmarkStart w:id="151" w:name="_Toc45891310"/>
    <w:p>
      <w:pPr>
        <w:pStyle w:val="style0"/>
        <w:rPr/>
      </w:pPr>
      <w:r>
        <w:t xml:space="preserve">Educational performance is affected by various socio-economic factors. The factors may include family background, learning environment, and government intervention. Educated parents will provide their children with academic, economic, psychological, and emotional support, making them more comfortable and well-adjusted to their learning development, thus influencing high </w:t>
      </w:r>
      <w:r>
        <w:t>academic achievement</w:t>
      </w:r>
      <w:r>
        <w:t>. A financially stable family will be able to provide more educational resources. For lower-income families, parents may put subsistence before children’s learning and thus will expect little from their children, especially academically., These findings are similar to those reported by (Muthoni (</w:t>
      </w:r>
      <w:r>
        <w:t>2020</w:t>
      </w:r>
      <w:r>
        <w:t>); Ngetich (</w:t>
      </w:r>
      <w:r>
        <w:t>2021</w:t>
      </w:r>
      <w:r>
        <w:t xml:space="preserve">); </w:t>
      </w:r>
      <w:r>
        <w:t>Iarmosh</w:t>
      </w:r>
      <w:r>
        <w:t xml:space="preserve"> (</w:t>
      </w:r>
      <w:r>
        <w:t>2020</w:t>
      </w:r>
      <w:r>
        <w:t xml:space="preserve">); Ella, </w:t>
      </w:r>
      <w:r>
        <w:t>Odok</w:t>
      </w:r>
      <w:r>
        <w:t xml:space="preserve"> &amp; Ella (</w:t>
      </w:r>
      <w:r>
        <w:t>2021</w:t>
      </w:r>
      <w:r>
        <w:t xml:space="preserve">), and </w:t>
      </w:r>
      <w:r>
        <w:t>Egunsola</w:t>
      </w:r>
      <w:r>
        <w:t xml:space="preserve"> &amp; Isani (</w:t>
      </w:r>
      <w:r>
        <w:t>2020</w:t>
      </w:r>
      <w:r>
        <w:t xml:space="preserve">), who found that students’ </w:t>
      </w:r>
      <w:r>
        <w:t>academic achievement</w:t>
      </w:r>
      <w:r>
        <w:t xml:space="preserve"> had a positive relationship with parental marital status, family size, parents’ education level, and their </w:t>
      </w:r>
      <w:r>
        <w:t>family’s</w:t>
      </w:r>
      <w:r>
        <w:t xml:space="preserve"> financial status.</w:t>
      </w:r>
    </w:p>
    <w:bookmarkStart w:id="152" w:name="_Toc144283210"/>
    <w:p>
      <w:pPr>
        <w:pStyle w:val="style2"/>
        <w:rPr/>
      </w:pPr>
      <w:r>
        <w:t>4.</w:t>
      </w:r>
      <w:r>
        <w:t>6</w:t>
      </w:r>
      <w:r>
        <w:t xml:space="preserve"> </w:t>
      </w:r>
      <w:r>
        <w:t>Relationship between household income level and pupils’ academic achievement of primary schools</w:t>
      </w:r>
      <w:bookmarkEnd w:id="151"/>
      <w:bookmarkEnd w:id="152"/>
    </w:p>
    <w:p>
      <w:pPr>
        <w:pStyle w:val="style0"/>
        <w:rPr/>
      </w:pPr>
      <w:r>
        <w:t>A cross-tabulation table of household size of income per month and pupils’ academic achievement in primary schools was generated. The raw results in Table 4.10 were converted to GPA scores and graded as 3-5-4.0=A, 3.0-3.4=B, 2.5-2.9=C, 2.0-2.4=D and 1.0=1.9=D. The pupils’ academic achievement results were tabulated against the household income level. Table 4.1</w:t>
      </w:r>
      <w:r>
        <w:t>2</w:t>
      </w:r>
      <w:r>
        <w:t xml:space="preserve"> shows how parents’ size of household income relates to pupils’ academic achievement presented in a cross-tabulation table.</w:t>
      </w:r>
    </w:p>
    <w:bookmarkStart w:id="153" w:name="_Toc144196188"/>
    <w:p>
      <w:pPr>
        <w:pStyle w:val="style4"/>
        <w:spacing w:before="120" w:after="120"/>
        <w:rPr>
          <w:shd w:val="clear" w:color="auto" w:fill="ffffff"/>
        </w:rPr>
      </w:pPr>
      <w:r>
        <w:t>Table 4.1</w:t>
      </w:r>
      <w:r>
        <w:t>2</w:t>
      </w:r>
      <w:r>
        <w:t xml:space="preserve">: Cross tabulation of </w:t>
      </w:r>
      <w:r>
        <w:rPr>
          <w:rFonts w:cs="Times New Roman"/>
        </w:rPr>
        <w:t xml:space="preserve">household income level and pupils’ </w:t>
      </w:r>
      <w:r>
        <w:rPr>
          <w:shd w:val="clear" w:color="auto" w:fill="ffffff"/>
        </w:rPr>
        <w:t>academic achievement of primary schools</w:t>
      </w:r>
      <w:bookmarkEnd w:id="153"/>
    </w:p>
    <w:tbl>
      <w:tblPr>
        <w:tblW w:w="45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3"/>
        <w:gridCol w:w="482"/>
        <w:gridCol w:w="1232"/>
        <w:gridCol w:w="1129"/>
        <w:gridCol w:w="1137"/>
        <w:gridCol w:w="1137"/>
        <w:gridCol w:w="761"/>
      </w:tblGrid>
      <w:tr>
        <w:trPr>
          <w:trHeight w:val="300" w:hRule="atLeast"/>
        </w:trPr>
        <w:tc>
          <w:tcPr>
            <w:tcW w:w="86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rPr>
                <w:shd w:val="clear" w:color="auto" w:fill="ffffff"/>
              </w:rPr>
            </w:pP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ascii="Calibri" w:hAnsi="Calibri"/>
                <w:sz w:val="20"/>
                <w:szCs w:val="20"/>
              </w:rPr>
            </w:pPr>
          </w:p>
        </w:tc>
        <w:tc>
          <w:tcPr>
            <w:tcW w:w="3703" w:type="pct"/>
            <w:gridSpan w:val="5"/>
            <w:tcBorders>
              <w:top w:val="single" w:sz="4" w:space="0" w:color="auto"/>
              <w:left w:val="single" w:sz="4" w:space="0" w:color="auto"/>
              <w:bottom w:val="single" w:sz="4" w:space="0" w:color="auto"/>
              <w:right w:val="single" w:sz="4" w:space="0" w:color="auto"/>
            </w:tcBorders>
            <w:hideMark/>
          </w:tcPr>
          <w:p>
            <w:pPr>
              <w:pStyle w:val="style0"/>
              <w:spacing w:before="0" w:after="0" w:lineRule="auto" w:line="240"/>
              <w:jc w:val="left"/>
              <w:rPr>
                <w:rFonts w:cs="Times New Roman" w:eastAsia="Times New Roman"/>
                <w:sz w:val="22"/>
              </w:rPr>
            </w:pPr>
            <w:r>
              <w:rPr>
                <w:rFonts w:cs="Times New Roman" w:eastAsia="Times New Roman"/>
                <w:sz w:val="22"/>
              </w:rPr>
              <w:t>Size of household income per month</w:t>
            </w:r>
          </w:p>
        </w:tc>
      </w:tr>
      <w:tr>
        <w:tblPrEx/>
        <w:trPr>
          <w:trHeight w:val="300" w:hRule="atLeast"/>
        </w:trPr>
        <w:tc>
          <w:tcPr>
            <w:tcW w:w="86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rPr>
                <w:rFonts w:cs="Times New Roman" w:eastAsia="Times New Roman"/>
                <w:sz w:val="22"/>
              </w:rPr>
            </w:pP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GPA</w:t>
            </w:r>
          </w:p>
        </w:tc>
        <w:tc>
          <w:tcPr>
            <w:tcW w:w="64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sz w:val="22"/>
              </w:rPr>
            </w:pPr>
            <w:r>
              <w:rPr>
                <w:rFonts w:cs="Times New Roman" w:eastAsia="Times New Roman"/>
                <w:sz w:val="22"/>
              </w:rPr>
              <w:t>Less than Ksh5000</w:t>
            </w:r>
          </w:p>
        </w:tc>
        <w:tc>
          <w:tcPr>
            <w:tcW w:w="64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sz w:val="22"/>
              </w:rPr>
            </w:pPr>
            <w:r>
              <w:rPr>
                <w:rFonts w:cs="Times New Roman" w:eastAsia="Times New Roman"/>
                <w:sz w:val="22"/>
              </w:rPr>
              <w:t>Kash5001-10000</w:t>
            </w:r>
          </w:p>
        </w:tc>
        <w:tc>
          <w:tcPr>
            <w:tcW w:w="6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sz w:val="22"/>
              </w:rPr>
            </w:pPr>
            <w:r>
              <w:rPr>
                <w:rFonts w:cs="Times New Roman" w:eastAsia="Times New Roman"/>
                <w:sz w:val="22"/>
              </w:rPr>
              <w:t>Ksh10001-20000</w:t>
            </w:r>
          </w:p>
        </w:tc>
        <w:tc>
          <w:tcPr>
            <w:tcW w:w="85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sz w:val="22"/>
              </w:rPr>
            </w:pPr>
            <w:r>
              <w:rPr>
                <w:rFonts w:cs="Times New Roman" w:eastAsia="Times New Roman"/>
                <w:sz w:val="22"/>
              </w:rPr>
              <w:t>Ksh20001-30000</w:t>
            </w:r>
          </w:p>
        </w:tc>
        <w:tc>
          <w:tcPr>
            <w:tcW w:w="862"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sz w:val="22"/>
              </w:rPr>
            </w:pPr>
            <w:r>
              <w:rPr>
                <w:rFonts w:cs="Times New Roman" w:eastAsia="Times New Roman"/>
                <w:sz w:val="22"/>
              </w:rPr>
              <w:t>More than Ksh30000</w:t>
            </w:r>
          </w:p>
        </w:tc>
      </w:tr>
      <w:tr>
        <w:tblPrEx/>
        <w:trPr>
          <w:trHeight w:val="300" w:hRule="atLeast"/>
        </w:trPr>
        <w:tc>
          <w:tcPr>
            <w:tcW w:w="867" w:type="pct"/>
            <w:vMerge w:val="restar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Pupils’</w:t>
            </w:r>
            <w:r>
              <w:rPr>
                <w:rFonts w:cs="Times New Roman" w:eastAsia="Times New Roman"/>
                <w:sz w:val="22"/>
              </w:rPr>
              <w:t xml:space="preserve"> </w:t>
            </w:r>
            <w:r>
              <w:rPr>
                <w:rFonts w:cs="Times New Roman" w:eastAsia="Times New Roman"/>
                <w:sz w:val="22"/>
              </w:rPr>
              <w:t>Academic achievement</w:t>
            </w:r>
            <w:r>
              <w:rPr>
                <w:rFonts w:cs="Times New Roman" w:eastAsia="Times New Roman"/>
                <w:sz w:val="22"/>
              </w:rPr>
              <w:t xml:space="preserve"> (grades)</w:t>
            </w: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E</w:t>
            </w:r>
          </w:p>
        </w:tc>
        <w:tc>
          <w:tcPr>
            <w:tcW w:w="645"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15</w:t>
            </w:r>
          </w:p>
        </w:tc>
        <w:tc>
          <w:tcPr>
            <w:tcW w:w="644"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3</w:t>
            </w:r>
          </w:p>
        </w:tc>
        <w:tc>
          <w:tcPr>
            <w:tcW w:w="697"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3</w:t>
            </w:r>
          </w:p>
        </w:tc>
        <w:tc>
          <w:tcPr>
            <w:tcW w:w="85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0</w:t>
            </w:r>
          </w:p>
        </w:tc>
        <w:tc>
          <w:tcPr>
            <w:tcW w:w="862"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2</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sz w:val="22"/>
              </w:rPr>
            </w:pP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D</w:t>
            </w:r>
          </w:p>
        </w:tc>
        <w:tc>
          <w:tcPr>
            <w:tcW w:w="645"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8</w:t>
            </w:r>
          </w:p>
        </w:tc>
        <w:tc>
          <w:tcPr>
            <w:tcW w:w="644"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21</w:t>
            </w:r>
          </w:p>
        </w:tc>
        <w:tc>
          <w:tcPr>
            <w:tcW w:w="697"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17</w:t>
            </w:r>
          </w:p>
        </w:tc>
        <w:tc>
          <w:tcPr>
            <w:tcW w:w="85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7</w:t>
            </w:r>
          </w:p>
        </w:tc>
        <w:tc>
          <w:tcPr>
            <w:tcW w:w="862"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2</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sz w:val="22"/>
              </w:rPr>
            </w:pP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C</w:t>
            </w:r>
          </w:p>
        </w:tc>
        <w:tc>
          <w:tcPr>
            <w:tcW w:w="645"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4</w:t>
            </w:r>
          </w:p>
        </w:tc>
        <w:tc>
          <w:tcPr>
            <w:tcW w:w="644"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7</w:t>
            </w:r>
          </w:p>
        </w:tc>
        <w:tc>
          <w:tcPr>
            <w:tcW w:w="697"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30</w:t>
            </w:r>
          </w:p>
        </w:tc>
        <w:tc>
          <w:tcPr>
            <w:tcW w:w="855" w:type="pct"/>
            <w:tcBorders>
              <w:top w:val="single" w:sz="4" w:space="0" w:color="auto"/>
              <w:left w:val="single" w:sz="4" w:space="0" w:color="auto"/>
              <w:bottom w:val="single" w:sz="4" w:space="0" w:color="auto"/>
              <w:right w:val="single" w:sz="4" w:space="0" w:color="auto"/>
            </w:tcBorders>
            <w:shd w:val="clear" w:color="auto" w:fill="00b05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15</w:t>
            </w:r>
          </w:p>
        </w:tc>
        <w:tc>
          <w:tcPr>
            <w:tcW w:w="862" w:type="pct"/>
            <w:tcBorders>
              <w:top w:val="single" w:sz="4" w:space="0" w:color="auto"/>
              <w:left w:val="single" w:sz="4" w:space="0" w:color="auto"/>
              <w:bottom w:val="single" w:sz="4" w:space="0" w:color="auto"/>
              <w:right w:val="single" w:sz="4" w:space="0" w:color="auto"/>
            </w:tcBorders>
            <w:shd w:val="clear" w:color="auto" w:fill="00b050"/>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10</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sz w:val="22"/>
              </w:rPr>
            </w:pP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B</w:t>
            </w:r>
          </w:p>
        </w:tc>
        <w:tc>
          <w:tcPr>
            <w:tcW w:w="64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w:t>
            </w:r>
          </w:p>
        </w:tc>
        <w:tc>
          <w:tcPr>
            <w:tcW w:w="64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w:t>
            </w:r>
          </w:p>
        </w:tc>
        <w:tc>
          <w:tcPr>
            <w:tcW w:w="6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10</w:t>
            </w:r>
          </w:p>
        </w:tc>
        <w:tc>
          <w:tcPr>
            <w:tcW w:w="855" w:type="pct"/>
            <w:tcBorders>
              <w:top w:val="single" w:sz="4" w:space="0" w:color="auto"/>
              <w:left w:val="single" w:sz="4" w:space="0" w:color="auto"/>
              <w:bottom w:val="single" w:sz="4" w:space="0" w:color="auto"/>
              <w:right w:val="single" w:sz="4" w:space="0" w:color="auto"/>
            </w:tcBorders>
            <w:shd w:val="clear" w:color="auto" w:fill="00b05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16</w:t>
            </w:r>
          </w:p>
        </w:tc>
        <w:tc>
          <w:tcPr>
            <w:tcW w:w="862" w:type="pct"/>
            <w:tcBorders>
              <w:top w:val="single" w:sz="4" w:space="0" w:color="auto"/>
              <w:left w:val="single" w:sz="4" w:space="0" w:color="auto"/>
              <w:bottom w:val="single" w:sz="4" w:space="0" w:color="auto"/>
              <w:right w:val="single" w:sz="4" w:space="0" w:color="auto"/>
            </w:tcBorders>
            <w:shd w:val="clear" w:color="auto" w:fill="00b050"/>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2</w:t>
            </w:r>
          </w:p>
        </w:tc>
      </w:tr>
      <w:tr>
        <w:tblPrEx/>
        <w:trPr>
          <w:trHeight w:val="300" w:hRule="atLeast"/>
        </w:trPr>
        <w:tc>
          <w:tcPr>
            <w:tcW w:w="0" w:type="auto"/>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sz w:val="22"/>
              </w:rPr>
            </w:pP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A</w:t>
            </w:r>
          </w:p>
        </w:tc>
        <w:tc>
          <w:tcPr>
            <w:tcW w:w="64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w:t>
            </w:r>
          </w:p>
        </w:tc>
        <w:tc>
          <w:tcPr>
            <w:tcW w:w="64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w:t>
            </w:r>
          </w:p>
        </w:tc>
        <w:tc>
          <w:tcPr>
            <w:tcW w:w="6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4</w:t>
            </w:r>
          </w:p>
        </w:tc>
        <w:tc>
          <w:tcPr>
            <w:tcW w:w="855" w:type="pct"/>
            <w:tcBorders>
              <w:top w:val="single" w:sz="4" w:space="0" w:color="auto"/>
              <w:left w:val="single" w:sz="4" w:space="0" w:color="auto"/>
              <w:bottom w:val="single" w:sz="4" w:space="0" w:color="auto"/>
              <w:right w:val="single" w:sz="4" w:space="0" w:color="auto"/>
            </w:tcBorders>
            <w:shd w:val="clear" w:color="auto" w:fill="00b05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4</w:t>
            </w:r>
          </w:p>
        </w:tc>
        <w:tc>
          <w:tcPr>
            <w:tcW w:w="862" w:type="pct"/>
            <w:tcBorders>
              <w:top w:val="single" w:sz="4" w:space="0" w:color="auto"/>
              <w:left w:val="single" w:sz="4" w:space="0" w:color="auto"/>
              <w:bottom w:val="single" w:sz="4" w:space="0" w:color="auto"/>
              <w:right w:val="single" w:sz="4" w:space="0" w:color="auto"/>
            </w:tcBorders>
            <w:shd w:val="clear" w:color="auto" w:fill="00b050"/>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3</w:t>
            </w:r>
          </w:p>
        </w:tc>
      </w:tr>
      <w:tr>
        <w:tblPrEx/>
        <w:trPr>
          <w:trHeight w:val="300" w:hRule="atLeast"/>
        </w:trPr>
        <w:tc>
          <w:tcPr>
            <w:tcW w:w="86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b/>
                <w:sz w:val="22"/>
              </w:rPr>
            </w:pPr>
            <w:r>
              <w:rPr>
                <w:rFonts w:cs="Times New Roman" w:eastAsia="Times New Roman"/>
                <w:b/>
                <w:sz w:val="22"/>
              </w:rPr>
              <w:t>Total</w:t>
            </w: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rPr>
                <w:rFonts w:cs="Times New Roman" w:eastAsia="Times New Roman"/>
                <w:b/>
                <w:sz w:val="22"/>
              </w:rPr>
            </w:pPr>
          </w:p>
        </w:tc>
        <w:tc>
          <w:tcPr>
            <w:tcW w:w="645" w:type="pct"/>
            <w:tcBorders>
              <w:top w:val="single" w:sz="4" w:space="0" w:color="auto"/>
              <w:left w:val="single" w:sz="4" w:space="0" w:color="auto"/>
              <w:bottom w:val="single" w:sz="4" w:space="0" w:color="auto"/>
              <w:right w:val="single" w:sz="4" w:space="0" w:color="auto"/>
            </w:tcBorders>
            <w:noWrap/>
            <w:vAlign w:val="center"/>
            <w:hideMark/>
          </w:tcPr>
          <w:p>
            <w:pPr>
              <w:pStyle w:val="style0"/>
              <w:spacing w:before="0" w:after="0" w:lineRule="auto" w:line="240"/>
              <w:jc w:val="center"/>
              <w:rPr>
                <w:rFonts w:cs="Times New Roman" w:eastAsia="Times New Roman"/>
                <w:b/>
                <w:sz w:val="22"/>
              </w:rPr>
            </w:pPr>
            <w:r>
              <w:rPr>
                <w:rFonts w:cs="Times New Roman"/>
                <w:b/>
                <w:sz w:val="18"/>
                <w:szCs w:val="18"/>
              </w:rPr>
              <w:t>29</w:t>
            </w:r>
          </w:p>
        </w:tc>
        <w:tc>
          <w:tcPr>
            <w:tcW w:w="644" w:type="pct"/>
            <w:tcBorders>
              <w:top w:val="single" w:sz="4" w:space="0" w:color="auto"/>
              <w:left w:val="single" w:sz="4" w:space="0" w:color="auto"/>
              <w:bottom w:val="single" w:sz="4" w:space="0" w:color="auto"/>
              <w:right w:val="single" w:sz="4" w:space="0" w:color="auto"/>
            </w:tcBorders>
            <w:noWrap/>
            <w:vAlign w:val="center"/>
            <w:hideMark/>
          </w:tcPr>
          <w:p>
            <w:pPr>
              <w:pStyle w:val="style0"/>
              <w:spacing w:before="0" w:after="0" w:lineRule="auto" w:line="240"/>
              <w:jc w:val="center"/>
              <w:rPr>
                <w:rFonts w:cs="Times New Roman" w:eastAsia="Times New Roman"/>
                <w:b/>
                <w:sz w:val="22"/>
              </w:rPr>
            </w:pPr>
            <w:r>
              <w:rPr>
                <w:rFonts w:cs="Times New Roman"/>
                <w:b/>
                <w:sz w:val="18"/>
                <w:szCs w:val="18"/>
              </w:rPr>
              <w:t>33</w:t>
            </w:r>
          </w:p>
        </w:tc>
        <w:tc>
          <w:tcPr>
            <w:tcW w:w="697" w:type="pct"/>
            <w:tcBorders>
              <w:top w:val="single" w:sz="4" w:space="0" w:color="auto"/>
              <w:left w:val="single" w:sz="4" w:space="0" w:color="auto"/>
              <w:bottom w:val="single" w:sz="4" w:space="0" w:color="auto"/>
              <w:right w:val="single" w:sz="4" w:space="0" w:color="auto"/>
            </w:tcBorders>
            <w:noWrap/>
            <w:vAlign w:val="center"/>
            <w:hideMark/>
          </w:tcPr>
          <w:p>
            <w:pPr>
              <w:pStyle w:val="style0"/>
              <w:spacing w:before="0" w:after="0" w:lineRule="auto" w:line="240"/>
              <w:jc w:val="center"/>
              <w:rPr>
                <w:rFonts w:cs="Times New Roman" w:eastAsia="Times New Roman"/>
                <w:b/>
                <w:sz w:val="22"/>
              </w:rPr>
            </w:pPr>
            <w:r>
              <w:rPr>
                <w:rFonts w:cs="Times New Roman"/>
                <w:b/>
                <w:sz w:val="18"/>
                <w:szCs w:val="18"/>
              </w:rPr>
              <w:t>64</w:t>
            </w:r>
          </w:p>
        </w:tc>
        <w:tc>
          <w:tcPr>
            <w:tcW w:w="855" w:type="pct"/>
            <w:tcBorders>
              <w:top w:val="single" w:sz="4" w:space="0" w:color="auto"/>
              <w:left w:val="single" w:sz="4" w:space="0" w:color="auto"/>
              <w:bottom w:val="single" w:sz="4" w:space="0" w:color="auto"/>
              <w:right w:val="single" w:sz="4" w:space="0" w:color="auto"/>
            </w:tcBorders>
            <w:noWrap/>
            <w:vAlign w:val="center"/>
            <w:hideMark/>
          </w:tcPr>
          <w:p>
            <w:pPr>
              <w:pStyle w:val="style0"/>
              <w:spacing w:before="0" w:after="0" w:lineRule="auto" w:line="240"/>
              <w:jc w:val="center"/>
              <w:rPr>
                <w:rFonts w:cs="Times New Roman" w:eastAsia="Times New Roman"/>
                <w:b/>
                <w:sz w:val="22"/>
              </w:rPr>
            </w:pPr>
            <w:r>
              <w:rPr>
                <w:rFonts w:cs="Times New Roman"/>
                <w:b/>
                <w:sz w:val="18"/>
                <w:szCs w:val="18"/>
              </w:rPr>
              <w:t>32</w:t>
            </w:r>
          </w:p>
        </w:tc>
        <w:tc>
          <w:tcPr>
            <w:tcW w:w="862" w:type="pct"/>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center"/>
              <w:rPr>
                <w:rFonts w:cs="Times New Roman" w:eastAsia="Times New Roman"/>
                <w:b/>
                <w:sz w:val="22"/>
              </w:rPr>
            </w:pPr>
            <w:r>
              <w:rPr>
                <w:rFonts w:cs="Times New Roman"/>
                <w:b/>
                <w:sz w:val="18"/>
                <w:szCs w:val="18"/>
              </w:rPr>
              <w:t>29</w:t>
            </w:r>
          </w:p>
        </w:tc>
      </w:tr>
      <w:tr>
        <w:tblPrEx/>
        <w:trPr>
          <w:trHeight w:val="315" w:hRule="atLeast"/>
        </w:trPr>
        <w:tc>
          <w:tcPr>
            <w:tcW w:w="86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rPr>
                <w:rFonts w:cs="Times New Roman" w:eastAsia="Times New Roman"/>
                <w:b/>
                <w:sz w:val="22"/>
              </w:rPr>
            </w:pP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ascii="Calibri" w:hAnsi="Calibri"/>
                <w:sz w:val="20"/>
                <w:szCs w:val="20"/>
              </w:rPr>
            </w:pPr>
          </w:p>
        </w:tc>
        <w:tc>
          <w:tcPr>
            <w:tcW w:w="64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ascii="Calibri" w:hAnsi="Calibri"/>
                <w:sz w:val="20"/>
                <w:szCs w:val="20"/>
              </w:rPr>
            </w:pPr>
          </w:p>
        </w:tc>
        <w:tc>
          <w:tcPr>
            <w:tcW w:w="64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ascii="Calibri" w:hAnsi="Calibri"/>
                <w:sz w:val="20"/>
                <w:szCs w:val="20"/>
              </w:rPr>
            </w:pPr>
          </w:p>
        </w:tc>
        <w:tc>
          <w:tcPr>
            <w:tcW w:w="6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ascii="Calibri" w:hAnsi="Calibri"/>
                <w:sz w:val="20"/>
                <w:szCs w:val="20"/>
              </w:rPr>
            </w:pPr>
          </w:p>
        </w:tc>
        <w:tc>
          <w:tcPr>
            <w:tcW w:w="85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sz w:val="22"/>
              </w:rPr>
            </w:pPr>
            <w:r>
              <w:rPr>
                <w:rFonts w:cs="Times New Roman" w:eastAsia="Times New Roman"/>
                <w:b/>
                <w:bCs/>
                <w:szCs w:val="24"/>
              </w:rPr>
              <w:t>Chi square</w:t>
            </w:r>
          </w:p>
        </w:tc>
        <w:tc>
          <w:tcPr>
            <w:tcW w:w="862"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96.105</w:t>
            </w:r>
          </w:p>
        </w:tc>
      </w:tr>
      <w:tr>
        <w:tblPrEx/>
        <w:trPr>
          <w:trHeight w:val="300" w:hRule="atLeast"/>
        </w:trPr>
        <w:tc>
          <w:tcPr>
            <w:tcW w:w="86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rPr>
                <w:rFonts w:cs="Times New Roman" w:eastAsia="Times New Roman"/>
                <w:sz w:val="22"/>
              </w:rPr>
            </w:pPr>
          </w:p>
        </w:tc>
        <w:tc>
          <w:tcPr>
            <w:tcW w:w="430"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ascii="Calibri" w:hAnsi="Calibri"/>
                <w:sz w:val="20"/>
                <w:szCs w:val="20"/>
              </w:rPr>
            </w:pPr>
          </w:p>
        </w:tc>
        <w:tc>
          <w:tcPr>
            <w:tcW w:w="64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ascii="Calibri" w:hAnsi="Calibri"/>
                <w:sz w:val="20"/>
                <w:szCs w:val="20"/>
              </w:rPr>
            </w:pPr>
          </w:p>
        </w:tc>
        <w:tc>
          <w:tcPr>
            <w:tcW w:w="644"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ascii="Calibri" w:hAnsi="Calibri"/>
                <w:sz w:val="20"/>
                <w:szCs w:val="20"/>
              </w:rPr>
            </w:pPr>
          </w:p>
        </w:tc>
        <w:tc>
          <w:tcPr>
            <w:tcW w:w="697"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ascii="Calibri" w:hAnsi="Calibri"/>
                <w:sz w:val="20"/>
                <w:szCs w:val="20"/>
              </w:rPr>
            </w:pPr>
          </w:p>
        </w:tc>
        <w:tc>
          <w:tcPr>
            <w:tcW w:w="85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Sig. level</w:t>
            </w:r>
          </w:p>
        </w:tc>
        <w:tc>
          <w:tcPr>
            <w:tcW w:w="862"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left"/>
              <w:rPr>
                <w:rFonts w:cs="Times New Roman" w:eastAsia="Times New Roman"/>
                <w:sz w:val="22"/>
              </w:rPr>
            </w:pPr>
            <w:r>
              <w:rPr>
                <w:rFonts w:cs="Times New Roman" w:eastAsia="Times New Roman"/>
                <w:sz w:val="22"/>
              </w:rPr>
              <w:t>0.000</w:t>
            </w:r>
          </w:p>
        </w:tc>
      </w:tr>
    </w:tbl>
    <w:p>
      <w:pPr>
        <w:pStyle w:val="style0"/>
        <w:rPr>
          <w:sz w:val="20"/>
          <w:szCs w:val="20"/>
        </w:rPr>
      </w:pPr>
      <w:r>
        <w:rPr>
          <w:sz w:val="20"/>
          <w:szCs w:val="20"/>
        </w:rPr>
        <w:t>A, B=good/quality grades, C=fair, D, E=poor grades</w:t>
      </w:r>
    </w:p>
    <w:p>
      <w:pPr>
        <w:pStyle w:val="style0"/>
        <w:rPr/>
      </w:pPr>
      <w:r>
        <w:t xml:space="preserve">Cross tabulation results showed that pupils whose parents earned higher income performed well academically compared to pupils with parents with limited household income. As indicated above, more quality grades are attained by most pupils whose parents/guardians have higher household incomes (shaded in green). Poor grades are attained by most pupils from parents who can access less income (shaded in yellow). The study findings were statistically significant, supported by a chi-square of 96.105 and a reported p-value of (0.000) less than (the 0.05) significance level. </w:t>
      </w:r>
      <w:r>
        <w:t>Thus, the null hypothesis was rejected since the p valued was 0.000.</w:t>
      </w:r>
      <w:r>
        <w:t xml:space="preserve"> Hence, there is a significant relationship between the income level of a household and pupils’ academic achievement in primary schools in Karaba Zone, </w:t>
      </w:r>
      <w:r>
        <w:t>Mbeere</w:t>
      </w:r>
      <w:r>
        <w:t xml:space="preserve"> South Sub-County. </w:t>
      </w:r>
      <w:r>
        <w:t xml:space="preserve">In an interview session with the head teacher, 3 indicated; </w:t>
      </w:r>
    </w:p>
    <w:p>
      <w:pPr>
        <w:pStyle w:val="style0"/>
        <w:ind w:left="720"/>
        <w:rPr>
          <w:rFonts w:cs="Times New Roman"/>
          <w:szCs w:val="24"/>
        </w:rPr>
      </w:pPr>
      <w:r>
        <w:t xml:space="preserve">‘Some parents with their children in this school fail to pay for examination fees for their children in time. However, there are those parents who are able to clear any pending learning expenses for the entire term or year which I presumed to have sufficient income to cater for learning needs of their children. With sufficient household income, parents/guardians may be able to </w:t>
      </w:r>
      <w:r>
        <w:rPr>
          <w:rFonts w:eastAsia="Times New Roman"/>
        </w:rPr>
        <w:t>meet academic expenses or their schooling children</w:t>
      </w:r>
      <w:r>
        <w:t xml:space="preserve">’ </w:t>
      </w:r>
      <w:r>
        <w:rPr>
          <w:rFonts w:cs="Times New Roman"/>
          <w:szCs w:val="24"/>
        </w:rPr>
        <w:t>Head teacher 3, [Key Informant Interviewee, 2021].</w:t>
      </w:r>
    </w:p>
    <w:p>
      <w:pPr>
        <w:pStyle w:val="style0"/>
        <w:rPr>
          <w:rFonts w:cs="Times New Roman"/>
          <w:szCs w:val="24"/>
        </w:rPr>
      </w:pPr>
      <w:r>
        <w:rPr>
          <w:rFonts w:cs="Times New Roman"/>
          <w:szCs w:val="24"/>
        </w:rPr>
        <w:t>In the Focus Group Discussion with pupils, 4</w:t>
      </w:r>
      <w:r>
        <w:rPr>
          <w:rFonts w:cs="Times New Roman"/>
          <w:szCs w:val="24"/>
          <w:vertAlign w:val="superscript"/>
        </w:rPr>
        <w:t>th</w:t>
      </w:r>
      <w:r>
        <w:rPr>
          <w:rFonts w:cs="Times New Roman"/>
          <w:szCs w:val="24"/>
        </w:rPr>
        <w:t xml:space="preserve"> and 5</w:t>
      </w:r>
      <w:r>
        <w:rPr>
          <w:rFonts w:cs="Times New Roman"/>
          <w:szCs w:val="24"/>
          <w:vertAlign w:val="superscript"/>
        </w:rPr>
        <w:t>th</w:t>
      </w:r>
      <w:r>
        <w:rPr>
          <w:rFonts w:cs="Times New Roman"/>
          <w:szCs w:val="24"/>
        </w:rPr>
        <w:t xml:space="preserve"> pupils noted:</w:t>
      </w:r>
    </w:p>
    <w:p>
      <w:pPr>
        <w:pStyle w:val="style0"/>
        <w:ind w:left="720"/>
        <w:rPr>
          <w:sz w:val="22"/>
        </w:rPr>
      </w:pPr>
      <w:r>
        <w:rPr>
          <w:sz w:val="22"/>
        </w:rPr>
        <w:t xml:space="preserve">Pupil 4: ‘My family income is not sufficient to meet both household needs and school needs. My father is a </w:t>
      </w:r>
      <w:r>
        <w:rPr>
          <w:sz w:val="22"/>
        </w:rPr>
        <w:t>small scale</w:t>
      </w:r>
      <w:r>
        <w:rPr>
          <w:sz w:val="22"/>
        </w:rPr>
        <w:t xml:space="preserve"> farmer together with my mother. We have a 1.5 acre of land that is shared between food stuffs like vegetables, maize, sweet potables and Miraa portion and the income generated from it is always small to buy food, clothing for us </w:t>
      </w:r>
      <w:r>
        <w:rPr>
          <w:sz w:val="22"/>
        </w:rPr>
        <w:t>and also</w:t>
      </w:r>
      <w:r>
        <w:rPr>
          <w:sz w:val="22"/>
        </w:rPr>
        <w:t xml:space="preserve"> for paying school expenses like tours and extra reading books ’</w:t>
      </w:r>
    </w:p>
    <w:p>
      <w:pPr>
        <w:pStyle w:val="style0"/>
        <w:ind w:left="720"/>
        <w:rPr>
          <w:sz w:val="22"/>
        </w:rPr>
      </w:pPr>
      <w:r>
        <w:rPr>
          <w:sz w:val="22"/>
        </w:rPr>
        <w:t>Pupil 5: ‘One day I was sent home for examination fee and my father had to ask mother to give him some of her little money that she got from her Chama. This was an indication that the amount of income generated by both my mother and father are not sufficient to cater for food, clothing and also for our school needs. My father has to go an extra mile of seeking income from other sources other than relying only on farm produce.’</w:t>
      </w:r>
    </w:p>
    <w:bookmarkStart w:id="154" w:name="_Toc45891311"/>
    <w:p>
      <w:pPr>
        <w:pStyle w:val="style0"/>
        <w:rPr>
          <w:rFonts w:cs="Times New Roman"/>
          <w:szCs w:val="24"/>
        </w:rPr>
      </w:pPr>
      <w:r>
        <w:t>A financially well-to-do family can comfortably provide more, especially when it comes to educational resources. The parents are busy with life for the unprivileged families, and they may put subsistence before children’s education, thus influencing their academic achievements. However, in cases where family income influences the children’s education level, the governments can actively subsidize the low-income family to promote their children’s educational conditions, which can significantly narrow the gap between the different social groups. The results agree with Lin (</w:t>
      </w:r>
      <w:r>
        <w:t>2021</w:t>
      </w:r>
      <w:r>
        <w:t xml:space="preserve">), who finds out that family income significantly influences children’s education level, and an increase in family income can help improve their education level. The results also agree with </w:t>
      </w:r>
      <w:r>
        <w:t>Kudaisi</w:t>
      </w:r>
      <w:r>
        <w:t xml:space="preserve"> and Martins (</w:t>
      </w:r>
      <w:r>
        <w:t>2020</w:t>
      </w:r>
      <w:r>
        <w:t>), who examined the effects of poverty on children’s educational attainment in Ondo State, Nigeria, to provide and found that parents’ autonomous income greatly influences children’s educational attainment</w:t>
      </w:r>
      <w:r>
        <w:rPr>
          <w:rFonts w:cs="Times New Roman"/>
          <w:b/>
          <w:bCs/>
          <w:szCs w:val="24"/>
        </w:rPr>
        <w:t xml:space="preserve">. </w:t>
      </w:r>
    </w:p>
    <w:bookmarkStart w:id="155" w:name="_Toc144283211"/>
    <w:p>
      <w:pPr>
        <w:pStyle w:val="style2"/>
        <w:rPr/>
      </w:pPr>
      <w:r>
        <w:rPr>
          <w:rFonts w:cs="Times New Roman"/>
          <w:color w:val="000000"/>
        </w:rPr>
        <w:t>4.</w:t>
      </w:r>
      <w:r>
        <w:rPr>
          <w:rFonts w:cs="Times New Roman"/>
          <w:color w:val="000000"/>
        </w:rPr>
        <w:t>7</w:t>
      </w:r>
      <w:r>
        <w:rPr>
          <w:rFonts w:cs="Times New Roman"/>
          <w:color w:val="000000"/>
        </w:rPr>
        <w:t xml:space="preserve"> </w:t>
      </w:r>
      <w:r>
        <w:t xml:space="preserve">Relationship between </w:t>
      </w:r>
      <w:r>
        <w:rPr>
          <w:rFonts w:cs="Times New Roman"/>
        </w:rPr>
        <w:t xml:space="preserve">household family size and pupils’ </w:t>
      </w:r>
      <w:r>
        <w:rPr>
          <w:shd w:val="clear" w:color="auto" w:fill="ffffff"/>
        </w:rPr>
        <w:t>academic achievement of primary schools</w:t>
      </w:r>
      <w:bookmarkEnd w:id="154"/>
      <w:bookmarkEnd w:id="155"/>
    </w:p>
    <w:p>
      <w:pPr>
        <w:pStyle w:val="style0"/>
        <w:rPr/>
      </w:pPr>
      <w:r>
        <w:t>A cross-tabulation of household family size (number of children per household) and pupils’ academic achievement in primary schools was generated. Academic scores of pupils in raw form were converted to GPA scores and graded as 3-5-4.0=A, 3.0-3.4=B, 2.5-2.9=C, 2.0-2.4=D and 1.0=1.9=D. The results of pupils’ academic achievement were tabulated against household family size. Table 4.1</w:t>
      </w:r>
      <w:r>
        <w:t>3</w:t>
      </w:r>
      <w:r>
        <w:t xml:space="preserve"> shows how parents’ size of household income relates to pupils’ academic achievement shown in a cross-tabulation table.</w:t>
      </w:r>
    </w:p>
    <w:bookmarkStart w:id="156" w:name="_Toc144196189"/>
    <w:p>
      <w:pPr>
        <w:pStyle w:val="style4"/>
        <w:spacing w:before="120" w:after="120"/>
        <w:rPr>
          <w:shd w:val="clear" w:color="auto" w:fill="ffffff"/>
        </w:rPr>
      </w:pPr>
      <w:r>
        <w:t>Table 4.1</w:t>
      </w:r>
      <w:r>
        <w:t>3</w:t>
      </w:r>
      <w:r>
        <w:t xml:space="preserve">: Cross tabulation of </w:t>
      </w:r>
      <w:r>
        <w:rPr>
          <w:rFonts w:cs="Times New Roman"/>
        </w:rPr>
        <w:t xml:space="preserve">household family size and pupils’ </w:t>
      </w:r>
      <w:r>
        <w:rPr>
          <w:shd w:val="clear" w:color="auto" w:fill="ffffff"/>
        </w:rPr>
        <w:t>academic achievement of primary schools</w:t>
      </w:r>
      <w:bookmarkEnd w:id="15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21"/>
        <w:gridCol w:w="1463"/>
        <w:gridCol w:w="957"/>
        <w:gridCol w:w="826"/>
        <w:gridCol w:w="921"/>
        <w:gridCol w:w="1352"/>
        <w:gridCol w:w="471"/>
      </w:tblGrid>
      <w:tr>
        <w:trPr>
          <w:trHeight w:val="300" w:hRule="atLeast"/>
        </w:trPr>
        <w:tc>
          <w:tcPr>
            <w:tcW w:w="1352"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rPr>
                <w:shd w:val="clear" w:color="auto" w:fill="ffffff"/>
              </w:rPr>
            </w:pP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ascii="Calibri" w:hAnsi="Calibri"/>
                <w:sz w:val="20"/>
                <w:szCs w:val="20"/>
              </w:rPr>
            </w:pPr>
          </w:p>
        </w:tc>
        <w:tc>
          <w:tcPr>
            <w:tcW w:w="2470" w:type="pct"/>
            <w:gridSpan w:val="4"/>
            <w:tcBorders>
              <w:top w:val="single" w:sz="4" w:space="0" w:color="auto"/>
              <w:left w:val="single" w:sz="4" w:space="0" w:color="auto"/>
              <w:bottom w:val="single" w:sz="4" w:space="0" w:color="auto"/>
              <w:right w:val="single" w:sz="4" w:space="0" w:color="auto"/>
            </w:tcBorders>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Number of children per household</w:t>
            </w:r>
          </w:p>
        </w:tc>
        <w:tc>
          <w:tcPr>
            <w:tcW w:w="287"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Total</w:t>
            </w:r>
          </w:p>
        </w:tc>
      </w:tr>
      <w:tr>
        <w:tblPrEx/>
        <w:trPr>
          <w:trHeight w:val="300" w:hRule="atLeast"/>
        </w:trPr>
        <w:tc>
          <w:tcPr>
            <w:tcW w:w="1352"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rPr>
                <w:rFonts w:cs="Times New Roman" w:eastAsia="Times New Roman"/>
                <w:color w:val="000000"/>
                <w:sz w:val="22"/>
              </w:rPr>
            </w:pP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 xml:space="preserve">Number of </w:t>
            </w:r>
            <w:r>
              <w:rPr>
                <w:rFonts w:cs="Times New Roman" w:eastAsia="Times New Roman"/>
                <w:color w:val="000000"/>
                <w:sz w:val="22"/>
              </w:rPr>
              <w:t>children/grades</w:t>
            </w:r>
          </w:p>
        </w:tc>
        <w:tc>
          <w:tcPr>
            <w:tcW w:w="583" w:type="pct"/>
            <w:tcBorders>
              <w:top w:val="single" w:sz="4" w:space="0" w:color="auto"/>
              <w:left w:val="single" w:sz="4" w:space="0" w:color="auto"/>
              <w:bottom w:val="single" w:sz="4" w:space="0" w:color="auto"/>
              <w:right w:val="single" w:sz="4" w:space="0" w:color="auto"/>
            </w:tcBorders>
            <w:noWrap/>
            <w:hideMark/>
          </w:tcPr>
          <w:p>
            <w:pPr>
              <w:pStyle w:val="style0"/>
              <w:spacing w:lineRule="auto" w:line="240"/>
              <w:jc w:val="center"/>
              <w:rPr>
                <w:rFonts w:cs="Times New Roman" w:eastAsia="Times New Roman"/>
                <w:color w:val="000000"/>
                <w:sz w:val="22"/>
              </w:rPr>
            </w:pPr>
            <w:r>
              <w:rPr>
                <w:rFonts w:cs="Times New Roman"/>
                <w:color w:val="000000"/>
                <w:sz w:val="22"/>
              </w:rPr>
              <w:t>0-2 children</w:t>
            </w:r>
          </w:p>
        </w:tc>
        <w:tc>
          <w:tcPr>
            <w:tcW w:w="503" w:type="pct"/>
            <w:tcBorders>
              <w:top w:val="single" w:sz="4" w:space="0" w:color="auto"/>
              <w:left w:val="single" w:sz="4" w:space="0" w:color="auto"/>
              <w:bottom w:val="single" w:sz="4" w:space="0" w:color="auto"/>
              <w:right w:val="single" w:sz="4" w:space="0" w:color="auto"/>
            </w:tcBorders>
            <w:noWrap/>
            <w:hideMark/>
          </w:tcPr>
          <w:p>
            <w:pPr>
              <w:pStyle w:val="style0"/>
              <w:spacing w:lineRule="auto" w:line="240"/>
              <w:jc w:val="center"/>
              <w:rPr>
                <w:rFonts w:cs="Times New Roman" w:eastAsia="Times New Roman"/>
                <w:color w:val="000000"/>
                <w:sz w:val="22"/>
              </w:rPr>
            </w:pPr>
            <w:r>
              <w:rPr>
                <w:rFonts w:cs="Times New Roman"/>
                <w:color w:val="000000"/>
                <w:sz w:val="22"/>
              </w:rPr>
              <w:t>2-5 children</w:t>
            </w:r>
          </w:p>
        </w:tc>
        <w:tc>
          <w:tcPr>
            <w:tcW w:w="561" w:type="pct"/>
            <w:tcBorders>
              <w:top w:val="single" w:sz="4" w:space="0" w:color="auto"/>
              <w:left w:val="single" w:sz="4" w:space="0" w:color="auto"/>
              <w:bottom w:val="single" w:sz="4" w:space="0" w:color="auto"/>
              <w:right w:val="single" w:sz="4" w:space="0" w:color="auto"/>
            </w:tcBorders>
            <w:noWrap/>
            <w:hideMark/>
          </w:tcPr>
          <w:p>
            <w:pPr>
              <w:pStyle w:val="style0"/>
              <w:spacing w:lineRule="auto" w:line="240"/>
              <w:jc w:val="center"/>
              <w:rPr>
                <w:rFonts w:cs="Times New Roman" w:eastAsia="Times New Roman"/>
                <w:color w:val="000000"/>
                <w:sz w:val="22"/>
              </w:rPr>
            </w:pPr>
            <w:r>
              <w:rPr>
                <w:rFonts w:cs="Times New Roman"/>
                <w:color w:val="000000"/>
                <w:sz w:val="22"/>
              </w:rPr>
              <w:t>6-10 Children</w:t>
            </w:r>
          </w:p>
        </w:tc>
        <w:tc>
          <w:tcPr>
            <w:tcW w:w="823" w:type="pct"/>
            <w:tcBorders>
              <w:top w:val="single" w:sz="4" w:space="0" w:color="auto"/>
              <w:left w:val="single" w:sz="4" w:space="0" w:color="auto"/>
              <w:bottom w:val="single" w:sz="4" w:space="0" w:color="auto"/>
              <w:right w:val="single" w:sz="4" w:space="0" w:color="auto"/>
            </w:tcBorders>
            <w:noWrap/>
            <w:hideMark/>
          </w:tcPr>
          <w:p>
            <w:pPr>
              <w:pStyle w:val="style0"/>
              <w:spacing w:lineRule="auto" w:line="240"/>
              <w:jc w:val="center"/>
              <w:rPr>
                <w:rFonts w:cs="Times New Roman" w:eastAsia="Times New Roman"/>
                <w:color w:val="000000"/>
                <w:sz w:val="22"/>
              </w:rPr>
            </w:pPr>
            <w:r>
              <w:rPr>
                <w:rFonts w:cs="Times New Roman"/>
                <w:color w:val="000000"/>
                <w:sz w:val="22"/>
              </w:rPr>
              <w:t>More than 10 children</w:t>
            </w:r>
          </w:p>
        </w:tc>
        <w:tc>
          <w:tcPr>
            <w:tcW w:w="287"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rPr>
                <w:rFonts w:cs="Times New Roman" w:eastAsia="Times New Roman"/>
                <w:color w:val="000000"/>
                <w:sz w:val="22"/>
              </w:rPr>
            </w:pPr>
          </w:p>
        </w:tc>
      </w:tr>
      <w:tr>
        <w:tblPrEx/>
        <w:trPr>
          <w:trHeight w:val="300" w:hRule="atLeast"/>
        </w:trPr>
        <w:tc>
          <w:tcPr>
            <w:tcW w:w="1352" w:type="pct"/>
            <w:vMerge w:val="restar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Pupils</w:t>
            </w:r>
            <w:r>
              <w:rPr>
                <w:rFonts w:cs="Times New Roman" w:eastAsia="Times New Roman"/>
                <w:color w:val="000000"/>
                <w:sz w:val="22"/>
              </w:rPr>
              <w:t xml:space="preserve"> </w:t>
            </w:r>
            <w:r>
              <w:rPr>
                <w:rFonts w:cs="Times New Roman" w:eastAsia="Times New Roman"/>
                <w:color w:val="000000"/>
                <w:sz w:val="22"/>
              </w:rPr>
              <w:t>Academic achievement</w:t>
            </w:r>
            <w:r>
              <w:rPr>
                <w:rFonts w:cs="Times New Roman" w:eastAsia="Times New Roman"/>
                <w:color w:val="000000"/>
                <w:sz w:val="22"/>
              </w:rPr>
              <w:t xml:space="preserve"> (grades)</w:t>
            </w: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E</w:t>
            </w:r>
          </w:p>
        </w:tc>
        <w:tc>
          <w:tcPr>
            <w:tcW w:w="583"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w:t>
            </w:r>
          </w:p>
        </w:tc>
        <w:tc>
          <w:tcPr>
            <w:tcW w:w="503"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8</w:t>
            </w:r>
          </w:p>
        </w:tc>
        <w:tc>
          <w:tcPr>
            <w:tcW w:w="561" w:type="pct"/>
            <w:tcBorders>
              <w:top w:val="single" w:sz="4" w:space="0" w:color="auto"/>
              <w:left w:val="single" w:sz="4" w:space="0" w:color="auto"/>
              <w:bottom w:val="single" w:sz="4" w:space="0" w:color="auto"/>
              <w:right w:val="single" w:sz="4" w:space="0" w:color="auto"/>
            </w:tcBorders>
            <w:shd w:val="clear" w:color="auto" w:fill="ffff0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13</w:t>
            </w:r>
          </w:p>
        </w:tc>
        <w:tc>
          <w:tcPr>
            <w:tcW w:w="823" w:type="pct"/>
            <w:tcBorders>
              <w:top w:val="single" w:sz="4" w:space="0" w:color="auto"/>
              <w:left w:val="single" w:sz="4" w:space="0" w:color="auto"/>
              <w:bottom w:val="single" w:sz="4" w:space="0" w:color="auto"/>
              <w:right w:val="single" w:sz="4" w:space="0" w:color="auto"/>
            </w:tcBorders>
            <w:shd w:val="clear" w:color="auto" w:fill="ffff0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w:t>
            </w:r>
          </w:p>
        </w:tc>
        <w:tc>
          <w:tcPr>
            <w:tcW w:w="287"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23</w:t>
            </w:r>
          </w:p>
        </w:tc>
      </w:tr>
      <w:tr>
        <w:tblPrEx/>
        <w:trPr>
          <w:trHeight w:val="300" w:hRule="atLeast"/>
        </w:trPr>
        <w:tc>
          <w:tcPr>
            <w:tcW w:w="2439" w:type="dxa"/>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lineRule="auto" w:line="240"/>
              <w:jc w:val="left"/>
              <w:rPr>
                <w:rFonts w:cs="Times New Roman" w:eastAsia="Times New Roman"/>
                <w:color w:val="000000"/>
                <w:sz w:val="22"/>
              </w:rPr>
            </w:pP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D</w:t>
            </w:r>
          </w:p>
        </w:tc>
        <w:tc>
          <w:tcPr>
            <w:tcW w:w="583"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11</w:t>
            </w:r>
          </w:p>
        </w:tc>
        <w:tc>
          <w:tcPr>
            <w:tcW w:w="503"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18</w:t>
            </w:r>
          </w:p>
        </w:tc>
        <w:tc>
          <w:tcPr>
            <w:tcW w:w="561" w:type="pct"/>
            <w:tcBorders>
              <w:top w:val="single" w:sz="4" w:space="0" w:color="auto"/>
              <w:left w:val="single" w:sz="4" w:space="0" w:color="auto"/>
              <w:bottom w:val="single" w:sz="4" w:space="0" w:color="auto"/>
              <w:right w:val="single" w:sz="4" w:space="0" w:color="auto"/>
            </w:tcBorders>
            <w:shd w:val="clear" w:color="auto" w:fill="ffff0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17</w:t>
            </w:r>
          </w:p>
        </w:tc>
        <w:tc>
          <w:tcPr>
            <w:tcW w:w="823" w:type="pct"/>
            <w:tcBorders>
              <w:top w:val="single" w:sz="4" w:space="0" w:color="auto"/>
              <w:left w:val="single" w:sz="4" w:space="0" w:color="auto"/>
              <w:bottom w:val="single" w:sz="4" w:space="0" w:color="auto"/>
              <w:right w:val="single" w:sz="4" w:space="0" w:color="auto"/>
            </w:tcBorders>
            <w:shd w:val="clear" w:color="auto" w:fill="ffff0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9</w:t>
            </w:r>
          </w:p>
        </w:tc>
        <w:tc>
          <w:tcPr>
            <w:tcW w:w="287"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55</w:t>
            </w:r>
          </w:p>
        </w:tc>
      </w:tr>
      <w:tr>
        <w:tblPrEx/>
        <w:trPr>
          <w:trHeight w:val="300" w:hRule="atLeast"/>
        </w:trPr>
        <w:tc>
          <w:tcPr>
            <w:tcW w:w="2439" w:type="dxa"/>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lineRule="auto" w:line="240"/>
              <w:jc w:val="left"/>
              <w:rPr>
                <w:rFonts w:cs="Times New Roman" w:eastAsia="Times New Roman"/>
                <w:color w:val="000000"/>
                <w:sz w:val="22"/>
              </w:rPr>
            </w:pP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C</w:t>
            </w:r>
          </w:p>
        </w:tc>
        <w:tc>
          <w:tcPr>
            <w:tcW w:w="583" w:type="pct"/>
            <w:tcBorders>
              <w:top w:val="single" w:sz="4" w:space="0" w:color="auto"/>
              <w:left w:val="single" w:sz="4" w:space="0" w:color="auto"/>
              <w:bottom w:val="single" w:sz="4" w:space="0" w:color="auto"/>
              <w:right w:val="single" w:sz="4" w:space="0" w:color="auto"/>
            </w:tcBorders>
            <w:shd w:val="clear" w:color="auto" w:fill="00b05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17</w:t>
            </w:r>
          </w:p>
        </w:tc>
        <w:tc>
          <w:tcPr>
            <w:tcW w:w="503" w:type="pct"/>
            <w:tcBorders>
              <w:top w:val="single" w:sz="4" w:space="0" w:color="auto"/>
              <w:left w:val="single" w:sz="4" w:space="0" w:color="auto"/>
              <w:bottom w:val="single" w:sz="4" w:space="0" w:color="auto"/>
              <w:right w:val="single" w:sz="4" w:space="0" w:color="auto"/>
            </w:tcBorders>
            <w:shd w:val="clear" w:color="auto" w:fill="00b05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16</w:t>
            </w:r>
          </w:p>
        </w:tc>
        <w:tc>
          <w:tcPr>
            <w:tcW w:w="561" w:type="pct"/>
            <w:tcBorders>
              <w:top w:val="single" w:sz="4" w:space="0" w:color="auto"/>
              <w:left w:val="single" w:sz="4" w:space="0" w:color="auto"/>
              <w:bottom w:val="single" w:sz="4" w:space="0" w:color="auto"/>
              <w:right w:val="single" w:sz="4" w:space="0" w:color="auto"/>
            </w:tcBorders>
            <w:shd w:val="clear" w:color="auto" w:fill="ffff0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23</w:t>
            </w:r>
          </w:p>
        </w:tc>
        <w:tc>
          <w:tcPr>
            <w:tcW w:w="823" w:type="pct"/>
            <w:tcBorders>
              <w:top w:val="single" w:sz="4" w:space="0" w:color="auto"/>
              <w:left w:val="single" w:sz="4" w:space="0" w:color="auto"/>
              <w:bottom w:val="single" w:sz="4" w:space="0" w:color="auto"/>
              <w:right w:val="single" w:sz="4" w:space="0" w:color="auto"/>
            </w:tcBorders>
            <w:shd w:val="clear" w:color="auto" w:fill="ffff0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10</w:t>
            </w:r>
          </w:p>
        </w:tc>
        <w:tc>
          <w:tcPr>
            <w:tcW w:w="287"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66</w:t>
            </w:r>
          </w:p>
        </w:tc>
      </w:tr>
      <w:tr>
        <w:tblPrEx/>
        <w:trPr>
          <w:trHeight w:val="300" w:hRule="atLeast"/>
        </w:trPr>
        <w:tc>
          <w:tcPr>
            <w:tcW w:w="2439" w:type="dxa"/>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lineRule="auto" w:line="240"/>
              <w:jc w:val="left"/>
              <w:rPr>
                <w:rFonts w:cs="Times New Roman" w:eastAsia="Times New Roman"/>
                <w:color w:val="000000"/>
                <w:sz w:val="22"/>
              </w:rPr>
            </w:pP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B</w:t>
            </w:r>
          </w:p>
        </w:tc>
        <w:tc>
          <w:tcPr>
            <w:tcW w:w="583" w:type="pct"/>
            <w:tcBorders>
              <w:top w:val="single" w:sz="4" w:space="0" w:color="auto"/>
              <w:left w:val="single" w:sz="4" w:space="0" w:color="auto"/>
              <w:bottom w:val="single" w:sz="4" w:space="0" w:color="auto"/>
              <w:right w:val="single" w:sz="4" w:space="0" w:color="auto"/>
            </w:tcBorders>
            <w:shd w:val="clear" w:color="auto" w:fill="00b05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15</w:t>
            </w:r>
          </w:p>
        </w:tc>
        <w:tc>
          <w:tcPr>
            <w:tcW w:w="503" w:type="pct"/>
            <w:tcBorders>
              <w:top w:val="single" w:sz="4" w:space="0" w:color="auto"/>
              <w:left w:val="single" w:sz="4" w:space="0" w:color="auto"/>
              <w:bottom w:val="single" w:sz="4" w:space="0" w:color="auto"/>
              <w:right w:val="single" w:sz="4" w:space="0" w:color="auto"/>
            </w:tcBorders>
            <w:shd w:val="clear" w:color="auto" w:fill="00b05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9</w:t>
            </w:r>
          </w:p>
        </w:tc>
        <w:tc>
          <w:tcPr>
            <w:tcW w:w="561"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6</w:t>
            </w:r>
          </w:p>
        </w:tc>
        <w:tc>
          <w:tcPr>
            <w:tcW w:w="823"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2</w:t>
            </w:r>
          </w:p>
        </w:tc>
        <w:tc>
          <w:tcPr>
            <w:tcW w:w="287"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30</w:t>
            </w:r>
          </w:p>
        </w:tc>
      </w:tr>
      <w:tr>
        <w:tblPrEx/>
        <w:trPr>
          <w:trHeight w:val="300" w:hRule="atLeast"/>
        </w:trPr>
        <w:tc>
          <w:tcPr>
            <w:tcW w:w="2439" w:type="dxa"/>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lineRule="auto" w:line="240"/>
              <w:jc w:val="left"/>
              <w:rPr>
                <w:rFonts w:cs="Times New Roman" w:eastAsia="Times New Roman"/>
                <w:color w:val="000000"/>
                <w:sz w:val="22"/>
              </w:rPr>
            </w:pP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A</w:t>
            </w:r>
          </w:p>
        </w:tc>
        <w:tc>
          <w:tcPr>
            <w:tcW w:w="583" w:type="pct"/>
            <w:tcBorders>
              <w:top w:val="single" w:sz="4" w:space="0" w:color="auto"/>
              <w:left w:val="single" w:sz="4" w:space="0" w:color="auto"/>
              <w:bottom w:val="single" w:sz="4" w:space="0" w:color="auto"/>
              <w:right w:val="single" w:sz="4" w:space="0" w:color="auto"/>
            </w:tcBorders>
            <w:shd w:val="clear" w:color="auto" w:fill="00b05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4</w:t>
            </w:r>
          </w:p>
        </w:tc>
        <w:tc>
          <w:tcPr>
            <w:tcW w:w="503" w:type="pct"/>
            <w:tcBorders>
              <w:top w:val="single" w:sz="4" w:space="0" w:color="auto"/>
              <w:left w:val="single" w:sz="4" w:space="0" w:color="auto"/>
              <w:bottom w:val="single" w:sz="4" w:space="0" w:color="auto"/>
              <w:right w:val="single" w:sz="4" w:space="0" w:color="auto"/>
            </w:tcBorders>
            <w:shd w:val="clear" w:color="auto" w:fill="00b050"/>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5</w:t>
            </w:r>
          </w:p>
        </w:tc>
        <w:tc>
          <w:tcPr>
            <w:tcW w:w="561"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w:t>
            </w:r>
          </w:p>
        </w:tc>
        <w:tc>
          <w:tcPr>
            <w:tcW w:w="823"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w:t>
            </w:r>
          </w:p>
        </w:tc>
        <w:tc>
          <w:tcPr>
            <w:tcW w:w="287"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13</w:t>
            </w:r>
          </w:p>
        </w:tc>
      </w:tr>
      <w:tr>
        <w:tblPrEx/>
        <w:trPr>
          <w:trHeight w:val="300" w:hRule="atLeast"/>
        </w:trPr>
        <w:tc>
          <w:tcPr>
            <w:tcW w:w="1352"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b/>
                <w:color w:val="000000"/>
                <w:sz w:val="22"/>
              </w:rPr>
            </w:pPr>
            <w:r>
              <w:rPr>
                <w:rFonts w:cs="Times New Roman" w:eastAsia="Times New Roman"/>
                <w:b/>
                <w:color w:val="000000"/>
                <w:sz w:val="22"/>
              </w:rPr>
              <w:t>Total</w:t>
            </w: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rPr>
                <w:rFonts w:cs="Times New Roman" w:eastAsia="Times New Roman"/>
                <w:b/>
                <w:color w:val="000000"/>
                <w:sz w:val="22"/>
              </w:rPr>
            </w:pPr>
          </w:p>
        </w:tc>
        <w:tc>
          <w:tcPr>
            <w:tcW w:w="583"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48</w:t>
            </w:r>
          </w:p>
        </w:tc>
        <w:tc>
          <w:tcPr>
            <w:tcW w:w="503"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56</w:t>
            </w:r>
          </w:p>
        </w:tc>
        <w:tc>
          <w:tcPr>
            <w:tcW w:w="561"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60</w:t>
            </w:r>
          </w:p>
        </w:tc>
        <w:tc>
          <w:tcPr>
            <w:tcW w:w="823"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23</w:t>
            </w:r>
          </w:p>
        </w:tc>
        <w:tc>
          <w:tcPr>
            <w:tcW w:w="287" w:type="pct"/>
            <w:tcBorders>
              <w:top w:val="single" w:sz="4" w:space="0" w:color="auto"/>
              <w:left w:val="single" w:sz="4" w:space="0" w:color="auto"/>
              <w:bottom w:val="single" w:sz="4" w:space="0" w:color="auto"/>
              <w:right w:val="single" w:sz="4" w:space="0" w:color="auto"/>
            </w:tcBorders>
            <w:noWrap/>
            <w:vAlign w:val="center"/>
            <w:hideMark/>
          </w:tcPr>
          <w:p>
            <w:pPr>
              <w:pStyle w:val="style0"/>
              <w:spacing w:lineRule="auto" w:line="240"/>
              <w:jc w:val="center"/>
              <w:rPr>
                <w:rFonts w:cs="Times New Roman" w:eastAsia="Times New Roman"/>
                <w:color w:val="000000"/>
                <w:sz w:val="22"/>
              </w:rPr>
            </w:pPr>
            <w:r>
              <w:rPr>
                <w:rFonts w:cs="Times New Roman"/>
                <w:color w:val="000000"/>
                <w:sz w:val="22"/>
              </w:rPr>
              <w:t>187</w:t>
            </w:r>
          </w:p>
        </w:tc>
      </w:tr>
      <w:tr>
        <w:tblPrEx/>
        <w:trPr>
          <w:trHeight w:val="315" w:hRule="atLeast"/>
        </w:trPr>
        <w:tc>
          <w:tcPr>
            <w:tcW w:w="1352"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rPr>
                <w:rFonts w:cs="Times New Roman" w:eastAsia="Times New Roman"/>
                <w:color w:val="000000"/>
                <w:sz w:val="22"/>
              </w:rPr>
            </w:pP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ascii="Calibri" w:hAnsi="Calibri"/>
                <w:sz w:val="20"/>
                <w:szCs w:val="20"/>
              </w:rPr>
            </w:pPr>
          </w:p>
        </w:tc>
        <w:tc>
          <w:tcPr>
            <w:tcW w:w="583"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ascii="Calibri" w:hAnsi="Calibri"/>
                <w:sz w:val="20"/>
                <w:szCs w:val="20"/>
              </w:rPr>
            </w:pPr>
          </w:p>
        </w:tc>
        <w:tc>
          <w:tcPr>
            <w:tcW w:w="503"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ascii="Calibri" w:hAnsi="Calibri"/>
                <w:sz w:val="20"/>
                <w:szCs w:val="20"/>
              </w:rPr>
            </w:pPr>
          </w:p>
        </w:tc>
        <w:tc>
          <w:tcPr>
            <w:tcW w:w="56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b/>
                <w:bCs/>
                <w:color w:val="000000"/>
                <w:sz w:val="22"/>
              </w:rPr>
              <w:t>Chi square</w:t>
            </w:r>
          </w:p>
        </w:tc>
        <w:tc>
          <w:tcPr>
            <w:tcW w:w="823"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color w:val="000000"/>
                <w:sz w:val="22"/>
              </w:rPr>
              <w:t>28.679</w:t>
            </w:r>
          </w:p>
        </w:tc>
        <w:tc>
          <w:tcPr>
            <w:tcW w:w="287" w:type="pct"/>
            <w:tcBorders>
              <w:top w:val="single" w:sz="4" w:space="0" w:color="auto"/>
              <w:left w:val="single" w:sz="4" w:space="0" w:color="auto"/>
              <w:bottom w:val="single" w:sz="4" w:space="0" w:color="auto"/>
              <w:right w:val="single" w:sz="4" w:space="0" w:color="auto"/>
            </w:tcBorders>
            <w:noWrap/>
            <w:vAlign w:val="bottom"/>
          </w:tcPr>
          <w:p>
            <w:pPr>
              <w:pStyle w:val="style0"/>
              <w:spacing w:lineRule="auto" w:line="240"/>
              <w:jc w:val="right"/>
              <w:rPr>
                <w:rFonts w:cs="Times New Roman" w:eastAsia="Times New Roman"/>
                <w:color w:val="000000"/>
                <w:sz w:val="22"/>
              </w:rPr>
            </w:pPr>
          </w:p>
        </w:tc>
      </w:tr>
      <w:tr>
        <w:tblPrEx/>
        <w:trPr>
          <w:trHeight w:val="300" w:hRule="atLeast"/>
        </w:trPr>
        <w:tc>
          <w:tcPr>
            <w:tcW w:w="1352"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rPr>
                <w:rFonts w:cs="Times New Roman" w:eastAsia="Times New Roman"/>
                <w:color w:val="000000"/>
                <w:sz w:val="22"/>
              </w:rPr>
            </w:pPr>
          </w:p>
        </w:tc>
        <w:tc>
          <w:tcPr>
            <w:tcW w:w="8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ascii="Calibri" w:hAnsi="Calibri"/>
                <w:sz w:val="20"/>
                <w:szCs w:val="20"/>
              </w:rPr>
            </w:pPr>
          </w:p>
        </w:tc>
        <w:tc>
          <w:tcPr>
            <w:tcW w:w="583"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ascii="Calibri" w:hAnsi="Calibri"/>
                <w:sz w:val="20"/>
                <w:szCs w:val="20"/>
              </w:rPr>
            </w:pPr>
          </w:p>
        </w:tc>
        <w:tc>
          <w:tcPr>
            <w:tcW w:w="503"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ascii="Calibri" w:hAnsi="Calibri"/>
                <w:sz w:val="20"/>
                <w:szCs w:val="20"/>
              </w:rPr>
            </w:pPr>
          </w:p>
        </w:tc>
        <w:tc>
          <w:tcPr>
            <w:tcW w:w="561"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Sig. level</w:t>
            </w:r>
          </w:p>
        </w:tc>
        <w:tc>
          <w:tcPr>
            <w:tcW w:w="823" w:type="pct"/>
            <w:tcBorders>
              <w:top w:val="single" w:sz="4" w:space="0" w:color="auto"/>
              <w:left w:val="single" w:sz="4" w:space="0" w:color="auto"/>
              <w:bottom w:val="single" w:sz="4" w:space="0" w:color="auto"/>
              <w:right w:val="single" w:sz="4" w:space="0" w:color="auto"/>
            </w:tcBorders>
            <w:noWrap/>
            <w:vAlign w:val="bottom"/>
            <w:hideMark/>
          </w:tcPr>
          <w:p>
            <w:pPr>
              <w:pStyle w:val="style0"/>
              <w:spacing w:lineRule="auto" w:line="240"/>
              <w:jc w:val="left"/>
              <w:rPr>
                <w:rFonts w:cs="Times New Roman" w:eastAsia="Times New Roman"/>
                <w:color w:val="000000"/>
                <w:sz w:val="22"/>
              </w:rPr>
            </w:pPr>
            <w:r>
              <w:rPr>
                <w:rFonts w:cs="Times New Roman" w:eastAsia="Times New Roman"/>
                <w:color w:val="000000"/>
                <w:sz w:val="22"/>
              </w:rPr>
              <w:t>0.004</w:t>
            </w:r>
          </w:p>
        </w:tc>
        <w:tc>
          <w:tcPr>
            <w:tcW w:w="287" w:type="pct"/>
            <w:tcBorders>
              <w:top w:val="single" w:sz="4" w:space="0" w:color="auto"/>
              <w:left w:val="single" w:sz="4" w:space="0" w:color="auto"/>
              <w:bottom w:val="single" w:sz="4" w:space="0" w:color="auto"/>
              <w:right w:val="single" w:sz="4" w:space="0" w:color="auto"/>
            </w:tcBorders>
            <w:noWrap/>
            <w:vAlign w:val="bottom"/>
          </w:tcPr>
          <w:p>
            <w:pPr>
              <w:pStyle w:val="style0"/>
              <w:spacing w:lineRule="auto" w:line="240"/>
              <w:jc w:val="right"/>
              <w:rPr>
                <w:rFonts w:cs="Times New Roman" w:eastAsia="Times New Roman"/>
                <w:color w:val="000000"/>
                <w:sz w:val="22"/>
              </w:rPr>
            </w:pPr>
          </w:p>
        </w:tc>
      </w:tr>
    </w:tbl>
    <w:p>
      <w:pPr>
        <w:pStyle w:val="style0"/>
        <w:rPr>
          <w:sz w:val="20"/>
          <w:szCs w:val="20"/>
        </w:rPr>
      </w:pPr>
      <w:r>
        <w:rPr>
          <w:sz w:val="20"/>
          <w:szCs w:val="20"/>
        </w:rPr>
        <w:t>A, B=good/quality grades, C=fair, D, E=poor grades</w:t>
      </w:r>
    </w:p>
    <w:p>
      <w:pPr>
        <w:pStyle w:val="style0"/>
        <w:rPr/>
      </w:pPr>
      <w:r>
        <w:t>Cross tabulation results in Table 4.1</w:t>
      </w:r>
      <w:r>
        <w:t>3</w:t>
      </w:r>
      <w:r>
        <w:t xml:space="preserve"> showed that pupils from larger households academically performed poorer compared to pupils from small households. As indicated above, more quality grades are attained by most pupils from small households (shaded in yellow). Poor grades are attained by most pupils from larger </w:t>
      </w:r>
      <w:r>
        <w:t xml:space="preserve">households (shaded in green). The study findings were statistically significant, supported by a chi-square of 28.679 and a reported p-value of (0.004) less than (the 0.05) significance level. </w:t>
      </w:r>
      <w:r>
        <w:t>H</w:t>
      </w:r>
      <w:r>
        <w:t xml:space="preserve">ence, since the p value is 0.004, the null hypothesis was rejected. Therefore, there is a significant relationship between the size of a family and pupils’ academic achievement in primary schools in Karaba Zone, </w:t>
      </w:r>
      <w:r>
        <w:t>Mbeere</w:t>
      </w:r>
      <w:r>
        <w:t xml:space="preserve"> South Sub-County. </w:t>
      </w:r>
      <w:r>
        <w:t xml:space="preserve">The Chi-square experiment illustrates a significant relationship between household size (number of children per household) and pupils’ academic achievement in primary schools. The bigger the family, the greater the pressure on the available resources, and the educational chances of each child become extra limited. In an interview session with head teachers, head teacher labeled 7 indicated: </w:t>
      </w:r>
    </w:p>
    <w:p>
      <w:pPr>
        <w:pStyle w:val="style0"/>
        <w:ind w:left="720"/>
        <w:rPr>
          <w:rFonts w:cs="Times New Roman"/>
          <w:szCs w:val="24"/>
        </w:rPr>
      </w:pPr>
      <w:r>
        <w:t xml:space="preserve">‘Large families with many children may find it challenging to meet school needs for all their children and this may interfere with their academic progress. A parent with few children (child) and determined to scale the heights of education for a child may be able to provide the needs of the child in school including </w:t>
      </w:r>
      <w:r>
        <w:rPr>
          <w:rFonts w:eastAsia="Times New Roman"/>
        </w:rPr>
        <w:t>paying fees, acquiring stationary, paying for tour and remedial fees compared to parents having several children to attend to</w:t>
      </w:r>
      <w:r>
        <w:t>, Head</w:t>
      </w:r>
      <w:r>
        <w:rPr>
          <w:rFonts w:cs="Times New Roman"/>
          <w:szCs w:val="24"/>
        </w:rPr>
        <w:t xml:space="preserve"> teacher 7, [Key Informant Interviewee, 2021].</w:t>
      </w:r>
    </w:p>
    <w:p>
      <w:pPr>
        <w:pStyle w:val="style0"/>
        <w:rPr/>
      </w:pPr>
      <w:r>
        <w:t>Students from smaller family sizes may perform academically better academically than those from larger family sizes. In households with fewer siblings, the children are likely to receive more parental attention and have more access to resources compared to children from large families. In Focus Group Discussion with pupils, 1st, 2nd and 3rd pupils retorted:</w:t>
      </w:r>
    </w:p>
    <w:p>
      <w:pPr>
        <w:pStyle w:val="style0"/>
        <w:ind w:left="720"/>
        <w:rPr>
          <w:sz w:val="22"/>
        </w:rPr>
      </w:pPr>
      <w:r>
        <w:rPr>
          <w:sz w:val="22"/>
        </w:rPr>
        <w:t xml:space="preserve">Pupil 1: ‘We are 8 in my family and my parents have to balance all the needs of the household with the needs of our school. In some cases, my elder siblings in the secondary school are first considered when it comes to paying examination fee before younger ones including me. As such when the schools </w:t>
      </w:r>
      <w:r>
        <w:rPr>
          <w:sz w:val="22"/>
        </w:rPr>
        <w:t>decides</w:t>
      </w:r>
      <w:r>
        <w:rPr>
          <w:sz w:val="22"/>
        </w:rPr>
        <w:t xml:space="preserve"> to send us home to bring examination money, I feel to waste precious time meant for class.’</w:t>
      </w:r>
    </w:p>
    <w:p>
      <w:pPr>
        <w:pStyle w:val="style0"/>
        <w:ind w:left="720"/>
        <w:rPr>
          <w:sz w:val="22"/>
        </w:rPr>
      </w:pPr>
      <w:r>
        <w:rPr>
          <w:sz w:val="22"/>
        </w:rPr>
        <w:t>Pupil 2: ‘We are only 2 of us in the family. My parents are able to accommodate school needs of both of us adequately. I have a feeling that if we were many, my parents would have found it challenging to meet the school needs including paying examination fee, tour fees and buying extra reading materials for us.’</w:t>
      </w:r>
    </w:p>
    <w:p>
      <w:pPr>
        <w:pStyle w:val="style0"/>
        <w:ind w:left="720"/>
        <w:rPr>
          <w:sz w:val="22"/>
        </w:rPr>
      </w:pPr>
      <w:r>
        <w:rPr>
          <w:sz w:val="22"/>
        </w:rPr>
        <w:t xml:space="preserve">Pupil 3: ‘If you are few in the family and the family is financial stable with sufficient income for household needs and school needs, </w:t>
      </w:r>
      <w:r>
        <w:t xml:space="preserve">your mother or father is able to pay </w:t>
      </w:r>
      <w:r>
        <w:t>closer attention to your academic progress</w:t>
      </w:r>
      <w:r>
        <w:rPr>
          <w:sz w:val="22"/>
        </w:rPr>
        <w:t>. I am the only child in the family and my dad or mum would always ask to look at my work every evening I come from school.’</w:t>
      </w:r>
    </w:p>
    <w:bookmarkStart w:id="157" w:name="_Toc45891312"/>
    <w:p>
      <w:pPr>
        <w:pStyle w:val="style0"/>
        <w:rPr/>
      </w:pPr>
      <w:r>
        <w:t xml:space="preserve">The larger the family, the greater the pressure on available resources, thus the less educational chances of each child. Large families with a higher number of children may find it challenging to provide food, shelter, and clothing, pay fees, acquire stationery, and pay for tours and remedial fees for all their schooling children. Students from smaller family sizes may perform academically better academically than those from larger family sizes. According to Ogweno, </w:t>
      </w:r>
      <w:r>
        <w:t>Kathuri</w:t>
      </w:r>
      <w:r>
        <w:t xml:space="preserve"> and Obara (</w:t>
      </w:r>
      <w:r>
        <w:t>2020</w:t>
      </w:r>
      <w:r>
        <w:t xml:space="preserve">), family size has a negative relationship with the </w:t>
      </w:r>
      <w:r>
        <w:t>academic achievement</w:t>
      </w:r>
      <w:r>
        <w:t xml:space="preserve"> of school-going children. The results also agree with Ella, </w:t>
      </w:r>
      <w:r>
        <w:t>Odok</w:t>
      </w:r>
      <w:r>
        <w:t xml:space="preserve"> and Ella (</w:t>
      </w:r>
      <w:r>
        <w:t>2021</w:t>
      </w:r>
      <w:r>
        <w:t xml:space="preserve">) that family size negatively influences learners' </w:t>
      </w:r>
      <w:r>
        <w:t>academic achievement</w:t>
      </w:r>
      <w:r>
        <w:t>.</w:t>
      </w:r>
    </w:p>
    <w:bookmarkStart w:id="158" w:name="_Toc144283212"/>
    <w:p>
      <w:pPr>
        <w:pStyle w:val="style2"/>
        <w:rPr>
          <w:rFonts w:cs="宋体" w:eastAsia="Calibri"/>
          <w:szCs w:val="22"/>
        </w:rPr>
      </w:pPr>
      <w:r>
        <w:rPr>
          <w:rFonts w:cs="Times New Roman"/>
          <w:color w:val="000000"/>
        </w:rPr>
        <w:t>4.</w:t>
      </w:r>
      <w:r>
        <w:rPr>
          <w:rFonts w:cs="Times New Roman"/>
          <w:color w:val="000000"/>
        </w:rPr>
        <w:t xml:space="preserve">8 </w:t>
      </w:r>
      <w:r>
        <w:rPr>
          <w:rFonts w:cs="Times New Roman"/>
          <w:color w:val="000000"/>
        </w:rPr>
        <w:t xml:space="preserve">The </w:t>
      </w:r>
      <w:r>
        <w:t xml:space="preserve">Relationship between </w:t>
      </w:r>
      <w:bookmarkEnd w:id="150"/>
      <w:r>
        <w:rPr>
          <w:rFonts w:cs="Times New Roman"/>
        </w:rPr>
        <w:t xml:space="preserve">parents’ level of education and pupils’ </w:t>
      </w:r>
      <w:r>
        <w:rPr>
          <w:shd w:val="clear" w:color="auto" w:fill="ffffff"/>
        </w:rPr>
        <w:t>academic achievement in the primary schools</w:t>
      </w:r>
      <w:bookmarkEnd w:id="157"/>
      <w:bookmarkEnd w:id="158"/>
    </w:p>
    <w:bookmarkStart w:id="159" w:name="_Toc464283560"/>
    <w:p>
      <w:pPr>
        <w:pStyle w:val="style0"/>
        <w:rPr/>
      </w:pPr>
      <w:r>
        <w:t>Further, a cross-tabulation table of parents’ education level and pupils’ academic achievement in primary schools was compiled. Academic scores of pupils in raw form were converted to GPA scores and graded as 3-5-4.0=A, 3.0-3.4=B, 2.5-2.9=C, 2.0-2.4=D and 1.0=1.9=D. The results of pupils’ academic achievement were tabulated against parents’ level of education. Table 4.1</w:t>
      </w:r>
      <w:r>
        <w:t>4</w:t>
      </w:r>
      <w:r>
        <w:t xml:space="preserve"> shows the relationship between the parent’s education level and the pupils’ academic achievement presented in a cross-tabulation table.</w:t>
      </w: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bookmarkStart w:id="160" w:name="_Toc144196190"/>
    <w:p>
      <w:pPr>
        <w:pStyle w:val="style4"/>
        <w:spacing w:before="120" w:after="120"/>
        <w:rPr/>
      </w:pPr>
      <w:r>
        <w:t>Table 4.1</w:t>
      </w:r>
      <w:r>
        <w:t>4</w:t>
      </w:r>
      <w:r>
        <w:t xml:space="preserve">: </w:t>
      </w:r>
      <w:bookmarkEnd w:id="159"/>
      <w:r>
        <w:t xml:space="preserve">Cross tabulation of </w:t>
      </w:r>
      <w:r>
        <w:rPr>
          <w:rFonts w:cs="Times New Roman"/>
        </w:rPr>
        <w:t xml:space="preserve">parents’ level of education and pupils’ </w:t>
      </w:r>
      <w:r>
        <w:rPr>
          <w:shd w:val="clear" w:color="auto" w:fill="ffffff"/>
        </w:rPr>
        <w:t>academic achievement</w:t>
      </w:r>
      <w:bookmarkEnd w:id="160"/>
      <w:r>
        <w:rPr>
          <w:shd w:val="clear" w:color="auto" w:fill="fffff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7"/>
        <w:gridCol w:w="852"/>
        <w:gridCol w:w="708"/>
        <w:gridCol w:w="994"/>
        <w:gridCol w:w="1135"/>
        <w:gridCol w:w="1274"/>
        <w:gridCol w:w="1411"/>
      </w:tblGrid>
      <w:tr>
        <w:trPr>
          <w:trHeight w:val="300" w:hRule="atLeast"/>
        </w:trPr>
        <w:tc>
          <w:tcPr>
            <w:tcW w:w="11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rPr/>
            </w:pP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ascii="Calibri" w:hAnsi="Calibri"/>
                <w:sz w:val="20"/>
                <w:szCs w:val="20"/>
              </w:rPr>
            </w:pPr>
          </w:p>
        </w:tc>
        <w:tc>
          <w:tcPr>
            <w:tcW w:w="3363" w:type="pct"/>
            <w:gridSpan w:val="5"/>
            <w:tcBorders>
              <w:top w:val="single" w:sz="4" w:space="0" w:color="auto"/>
              <w:left w:val="single" w:sz="4" w:space="0" w:color="auto"/>
              <w:bottom w:val="single" w:sz="4" w:space="0" w:color="auto"/>
              <w:right w:val="single" w:sz="4" w:space="0" w:color="auto"/>
            </w:tcBorders>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P</w:t>
            </w:r>
            <w:r>
              <w:rPr>
                <w:rFonts w:cs="Times New Roman" w:eastAsia="Times New Roman"/>
                <w:color w:val="000000"/>
                <w:sz w:val="22"/>
              </w:rPr>
              <w:t>arents level of education</w:t>
            </w:r>
          </w:p>
        </w:tc>
      </w:tr>
      <w:tr>
        <w:tblPrEx/>
        <w:trPr>
          <w:trHeight w:val="300" w:hRule="atLeast"/>
        </w:trPr>
        <w:tc>
          <w:tcPr>
            <w:tcW w:w="11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rPr>
                <w:rFonts w:cs="Times New Roman" w:eastAsia="Times New Roman"/>
                <w:color w:val="000000"/>
                <w:sz w:val="22"/>
              </w:rPr>
            </w:pP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Grade</w:t>
            </w:r>
          </w:p>
        </w:tc>
        <w:tc>
          <w:tcPr>
            <w:tcW w:w="43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none</w:t>
            </w:r>
          </w:p>
        </w:tc>
        <w:tc>
          <w:tcPr>
            <w:tcW w:w="60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primary</w:t>
            </w:r>
          </w:p>
        </w:tc>
        <w:tc>
          <w:tcPr>
            <w:tcW w:w="6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secondary</w:t>
            </w:r>
          </w:p>
        </w:tc>
        <w:tc>
          <w:tcPr>
            <w:tcW w:w="776"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Certificate/</w:t>
            </w:r>
          </w:p>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Diploma</w:t>
            </w:r>
          </w:p>
        </w:tc>
        <w:tc>
          <w:tcPr>
            <w:tcW w:w="860" w:type="pct"/>
            <w:tcBorders>
              <w:top w:val="single" w:sz="4" w:space="0" w:color="auto"/>
              <w:left w:val="single" w:sz="4" w:space="0" w:color="auto"/>
              <w:bottom w:val="single" w:sz="4" w:space="0" w:color="auto"/>
              <w:right w:val="single" w:sz="4" w:space="0" w:color="auto"/>
            </w:tcBorders>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Bachelor/</w:t>
            </w:r>
          </w:p>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Postgraduate Degree</w:t>
            </w:r>
          </w:p>
        </w:tc>
      </w:tr>
      <w:tr>
        <w:tblPrEx/>
        <w:trPr>
          <w:trHeight w:val="300" w:hRule="atLeast"/>
        </w:trPr>
        <w:tc>
          <w:tcPr>
            <w:tcW w:w="1119" w:type="pct"/>
            <w:vMerge w:val="restar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color w:val="000000"/>
                <w:sz w:val="22"/>
              </w:rPr>
            </w:pPr>
            <w:r>
              <w:rPr>
                <w:rFonts w:cs="Times New Roman" w:eastAsia="Times New Roman"/>
                <w:color w:val="000000"/>
                <w:sz w:val="22"/>
              </w:rPr>
              <w:t xml:space="preserve">Pupils Academic </w:t>
            </w:r>
            <w:r>
              <w:rPr>
                <w:rFonts w:cs="Times New Roman" w:eastAsia="Times New Roman"/>
                <w:color w:val="000000"/>
                <w:sz w:val="22"/>
              </w:rPr>
              <w:t xml:space="preserve">Achievements </w:t>
            </w:r>
            <w:r>
              <w:rPr>
                <w:rFonts w:cs="Times New Roman" w:eastAsia="Times New Roman"/>
                <w:color w:val="000000"/>
                <w:sz w:val="22"/>
              </w:rPr>
              <w:t>(grades)</w:t>
            </w: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E</w:t>
            </w:r>
          </w:p>
        </w:tc>
        <w:tc>
          <w:tcPr>
            <w:tcW w:w="431"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4</w:t>
            </w:r>
          </w:p>
        </w:tc>
        <w:tc>
          <w:tcPr>
            <w:tcW w:w="605"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13</w:t>
            </w:r>
          </w:p>
        </w:tc>
        <w:tc>
          <w:tcPr>
            <w:tcW w:w="6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2</w:t>
            </w:r>
          </w:p>
        </w:tc>
        <w:tc>
          <w:tcPr>
            <w:tcW w:w="776"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3</w:t>
            </w:r>
          </w:p>
        </w:tc>
        <w:tc>
          <w:tcPr>
            <w:tcW w:w="860"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w:t>
            </w:r>
          </w:p>
        </w:tc>
      </w:tr>
      <w:tr>
        <w:tblPrEx/>
        <w:trPr>
          <w:trHeight w:val="300" w:hRule="atLeast"/>
        </w:trPr>
        <w:tc>
          <w:tcPr>
            <w:tcW w:w="1119" w:type="pct"/>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 w:val="22"/>
              </w:rPr>
            </w:pP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D</w:t>
            </w:r>
          </w:p>
        </w:tc>
        <w:tc>
          <w:tcPr>
            <w:tcW w:w="431"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12</w:t>
            </w:r>
          </w:p>
        </w:tc>
        <w:tc>
          <w:tcPr>
            <w:tcW w:w="605"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23</w:t>
            </w:r>
          </w:p>
        </w:tc>
        <w:tc>
          <w:tcPr>
            <w:tcW w:w="6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11</w:t>
            </w:r>
          </w:p>
        </w:tc>
        <w:tc>
          <w:tcPr>
            <w:tcW w:w="776"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7</w:t>
            </w:r>
          </w:p>
        </w:tc>
        <w:tc>
          <w:tcPr>
            <w:tcW w:w="860"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2</w:t>
            </w:r>
          </w:p>
        </w:tc>
      </w:tr>
      <w:tr>
        <w:tblPrEx/>
        <w:trPr>
          <w:trHeight w:val="300" w:hRule="atLeast"/>
        </w:trPr>
        <w:tc>
          <w:tcPr>
            <w:tcW w:w="1119" w:type="pct"/>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 w:val="22"/>
              </w:rPr>
            </w:pP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C</w:t>
            </w:r>
          </w:p>
        </w:tc>
        <w:tc>
          <w:tcPr>
            <w:tcW w:w="431"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7</w:t>
            </w:r>
          </w:p>
        </w:tc>
        <w:tc>
          <w:tcPr>
            <w:tcW w:w="605" w:type="pct"/>
            <w:tcBorders>
              <w:top w:val="single" w:sz="4" w:space="0" w:color="auto"/>
              <w:left w:val="single" w:sz="4" w:space="0" w:color="auto"/>
              <w:bottom w:val="single" w:sz="4" w:space="0" w:color="auto"/>
              <w:right w:val="single" w:sz="4" w:space="0" w:color="auto"/>
            </w:tcBorders>
            <w:shd w:val="clear" w:color="auto" w:fill="ffff0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9</w:t>
            </w:r>
          </w:p>
        </w:tc>
        <w:tc>
          <w:tcPr>
            <w:tcW w:w="691" w:type="pct"/>
            <w:tcBorders>
              <w:top w:val="single" w:sz="4" w:space="0" w:color="auto"/>
              <w:left w:val="single" w:sz="4" w:space="0" w:color="auto"/>
              <w:bottom w:val="single" w:sz="4" w:space="0" w:color="auto"/>
              <w:right w:val="single" w:sz="4" w:space="0" w:color="auto"/>
            </w:tcBorders>
            <w:shd w:val="clear" w:color="auto" w:fill="00b05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40</w:t>
            </w:r>
          </w:p>
        </w:tc>
        <w:tc>
          <w:tcPr>
            <w:tcW w:w="776" w:type="pct"/>
            <w:tcBorders>
              <w:top w:val="single" w:sz="4" w:space="0" w:color="auto"/>
              <w:left w:val="single" w:sz="4" w:space="0" w:color="auto"/>
              <w:bottom w:val="single" w:sz="4" w:space="0" w:color="auto"/>
              <w:right w:val="single" w:sz="4" w:space="0" w:color="auto"/>
            </w:tcBorders>
            <w:shd w:val="clear" w:color="auto" w:fill="00b05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10</w:t>
            </w:r>
          </w:p>
        </w:tc>
        <w:tc>
          <w:tcPr>
            <w:tcW w:w="860"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0</w:t>
            </w:r>
          </w:p>
        </w:tc>
      </w:tr>
      <w:tr>
        <w:tblPrEx/>
        <w:trPr>
          <w:trHeight w:val="300" w:hRule="atLeast"/>
        </w:trPr>
        <w:tc>
          <w:tcPr>
            <w:tcW w:w="1119" w:type="pct"/>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 w:val="22"/>
              </w:rPr>
            </w:pP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B</w:t>
            </w:r>
          </w:p>
        </w:tc>
        <w:tc>
          <w:tcPr>
            <w:tcW w:w="43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w:t>
            </w:r>
          </w:p>
        </w:tc>
        <w:tc>
          <w:tcPr>
            <w:tcW w:w="60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5</w:t>
            </w:r>
          </w:p>
        </w:tc>
        <w:tc>
          <w:tcPr>
            <w:tcW w:w="691" w:type="pct"/>
            <w:tcBorders>
              <w:top w:val="single" w:sz="4" w:space="0" w:color="auto"/>
              <w:left w:val="single" w:sz="4" w:space="0" w:color="auto"/>
              <w:bottom w:val="single" w:sz="4" w:space="0" w:color="auto"/>
              <w:right w:val="single" w:sz="4" w:space="0" w:color="auto"/>
            </w:tcBorders>
            <w:shd w:val="clear" w:color="auto" w:fill="00b05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8</w:t>
            </w:r>
          </w:p>
        </w:tc>
        <w:tc>
          <w:tcPr>
            <w:tcW w:w="776" w:type="pct"/>
            <w:tcBorders>
              <w:top w:val="single" w:sz="4" w:space="0" w:color="auto"/>
              <w:left w:val="single" w:sz="4" w:space="0" w:color="auto"/>
              <w:bottom w:val="single" w:sz="4" w:space="0" w:color="auto"/>
              <w:right w:val="single" w:sz="4" w:space="0" w:color="auto"/>
            </w:tcBorders>
            <w:shd w:val="clear" w:color="auto" w:fill="00b05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15</w:t>
            </w:r>
          </w:p>
        </w:tc>
        <w:tc>
          <w:tcPr>
            <w:tcW w:w="860"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w:t>
            </w:r>
          </w:p>
        </w:tc>
      </w:tr>
      <w:tr>
        <w:tblPrEx/>
        <w:trPr>
          <w:trHeight w:val="300" w:hRule="atLeast"/>
        </w:trPr>
        <w:tc>
          <w:tcPr>
            <w:tcW w:w="1119" w:type="pct"/>
            <w:vMerge w:val="continue"/>
            <w:tcBorders>
              <w:top w:val="single" w:sz="4" w:space="0" w:color="auto"/>
              <w:left w:val="single" w:sz="4" w:space="0" w:color="auto"/>
              <w:bottom w:val="single" w:sz="4" w:space="0" w:color="auto"/>
              <w:right w:val="single" w:sz="4" w:space="0" w:color="auto"/>
            </w:tcBorders>
            <w:vAlign w:val="center"/>
            <w:hideMark/>
          </w:tcPr>
          <w:p>
            <w:pPr>
              <w:pStyle w:val="style0"/>
              <w:spacing w:before="0" w:after="0" w:lineRule="auto" w:line="240"/>
              <w:jc w:val="left"/>
              <w:rPr>
                <w:rFonts w:cs="Times New Roman" w:eastAsia="Times New Roman"/>
                <w:color w:val="000000"/>
                <w:sz w:val="22"/>
              </w:rPr>
            </w:pP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A</w:t>
            </w:r>
          </w:p>
        </w:tc>
        <w:tc>
          <w:tcPr>
            <w:tcW w:w="43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0</w:t>
            </w:r>
          </w:p>
        </w:tc>
        <w:tc>
          <w:tcPr>
            <w:tcW w:w="60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1</w:t>
            </w:r>
          </w:p>
        </w:tc>
        <w:tc>
          <w:tcPr>
            <w:tcW w:w="691" w:type="pct"/>
            <w:tcBorders>
              <w:top w:val="single" w:sz="4" w:space="0" w:color="auto"/>
              <w:left w:val="single" w:sz="4" w:space="0" w:color="auto"/>
              <w:bottom w:val="single" w:sz="4" w:space="0" w:color="auto"/>
              <w:right w:val="single" w:sz="4" w:space="0" w:color="auto"/>
            </w:tcBorders>
            <w:shd w:val="clear" w:color="auto" w:fill="00b05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2</w:t>
            </w:r>
          </w:p>
        </w:tc>
        <w:tc>
          <w:tcPr>
            <w:tcW w:w="776" w:type="pct"/>
            <w:tcBorders>
              <w:top w:val="single" w:sz="4" w:space="0" w:color="auto"/>
              <w:left w:val="single" w:sz="4" w:space="0" w:color="auto"/>
              <w:bottom w:val="single" w:sz="4" w:space="0" w:color="auto"/>
              <w:right w:val="single" w:sz="4" w:space="0" w:color="auto"/>
            </w:tcBorders>
            <w:shd w:val="clear" w:color="auto" w:fill="00b050"/>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7</w:t>
            </w:r>
          </w:p>
        </w:tc>
        <w:tc>
          <w:tcPr>
            <w:tcW w:w="860"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3</w:t>
            </w:r>
          </w:p>
        </w:tc>
      </w:tr>
      <w:tr>
        <w:tblPrEx/>
        <w:trPr>
          <w:trHeight w:val="300" w:hRule="atLeast"/>
        </w:trPr>
        <w:tc>
          <w:tcPr>
            <w:tcW w:w="11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left"/>
              <w:rPr>
                <w:rFonts w:cs="Times New Roman" w:eastAsia="Times New Roman"/>
                <w:b/>
                <w:color w:val="000000"/>
                <w:sz w:val="22"/>
              </w:rPr>
            </w:pPr>
            <w:r>
              <w:rPr>
                <w:rFonts w:cs="Times New Roman" w:eastAsia="Times New Roman"/>
                <w:b/>
                <w:color w:val="000000"/>
                <w:sz w:val="22"/>
              </w:rPr>
              <w:t>Total</w:t>
            </w: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color w:val="000000"/>
                <w:sz w:val="22"/>
              </w:rPr>
            </w:pPr>
          </w:p>
        </w:tc>
        <w:tc>
          <w:tcPr>
            <w:tcW w:w="43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color w:val="000000"/>
                <w:sz w:val="22"/>
              </w:rPr>
            </w:pPr>
            <w:r>
              <w:rPr>
                <w:rFonts w:cs="Times New Roman" w:eastAsia="Times New Roman"/>
                <w:b/>
                <w:color w:val="000000"/>
                <w:sz w:val="22"/>
              </w:rPr>
              <w:t>24</w:t>
            </w:r>
          </w:p>
        </w:tc>
        <w:tc>
          <w:tcPr>
            <w:tcW w:w="60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color w:val="000000"/>
                <w:sz w:val="22"/>
              </w:rPr>
            </w:pPr>
            <w:r>
              <w:rPr>
                <w:rFonts w:cs="Times New Roman" w:eastAsia="Times New Roman"/>
                <w:b/>
                <w:color w:val="000000"/>
                <w:sz w:val="22"/>
              </w:rPr>
              <w:t>51</w:t>
            </w:r>
          </w:p>
        </w:tc>
        <w:tc>
          <w:tcPr>
            <w:tcW w:w="6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color w:val="000000"/>
                <w:sz w:val="22"/>
              </w:rPr>
            </w:pPr>
            <w:r>
              <w:rPr>
                <w:rFonts w:cs="Times New Roman" w:eastAsia="Times New Roman"/>
                <w:b/>
                <w:color w:val="000000"/>
                <w:sz w:val="22"/>
              </w:rPr>
              <w:t>63</w:t>
            </w:r>
          </w:p>
        </w:tc>
        <w:tc>
          <w:tcPr>
            <w:tcW w:w="776"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b/>
                <w:color w:val="000000"/>
                <w:sz w:val="22"/>
              </w:rPr>
            </w:pPr>
            <w:r>
              <w:rPr>
                <w:rFonts w:cs="Times New Roman" w:eastAsia="Times New Roman"/>
                <w:b/>
                <w:color w:val="000000"/>
                <w:sz w:val="22"/>
              </w:rPr>
              <w:t>42</w:t>
            </w:r>
          </w:p>
        </w:tc>
        <w:tc>
          <w:tcPr>
            <w:tcW w:w="860"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b/>
                <w:color w:val="000000"/>
                <w:sz w:val="22"/>
              </w:rPr>
            </w:pPr>
            <w:r>
              <w:rPr>
                <w:rFonts w:cs="Times New Roman" w:eastAsia="Times New Roman"/>
                <w:b/>
                <w:color w:val="000000"/>
                <w:sz w:val="22"/>
              </w:rPr>
              <w:t>7</w:t>
            </w:r>
          </w:p>
        </w:tc>
      </w:tr>
      <w:tr>
        <w:tblPrEx/>
        <w:trPr>
          <w:trHeight w:val="315" w:hRule="atLeast"/>
        </w:trPr>
        <w:tc>
          <w:tcPr>
            <w:tcW w:w="11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rPr>
                <w:rFonts w:cs="Times New Roman" w:eastAsia="Times New Roman"/>
                <w:b/>
                <w:color w:val="000000"/>
                <w:sz w:val="22"/>
              </w:rPr>
            </w:pP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ascii="Calibri" w:hAnsi="Calibri"/>
                <w:sz w:val="20"/>
                <w:szCs w:val="20"/>
              </w:rPr>
            </w:pPr>
          </w:p>
        </w:tc>
        <w:tc>
          <w:tcPr>
            <w:tcW w:w="43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ascii="Calibri" w:hAnsi="Calibri"/>
                <w:sz w:val="20"/>
                <w:szCs w:val="20"/>
              </w:rPr>
            </w:pPr>
          </w:p>
        </w:tc>
        <w:tc>
          <w:tcPr>
            <w:tcW w:w="60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ascii="Calibri" w:hAnsi="Calibri"/>
                <w:sz w:val="20"/>
                <w:szCs w:val="20"/>
              </w:rPr>
            </w:pPr>
          </w:p>
        </w:tc>
        <w:tc>
          <w:tcPr>
            <w:tcW w:w="6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ascii="Calibri" w:hAnsi="Calibri"/>
                <w:sz w:val="20"/>
                <w:szCs w:val="20"/>
              </w:rPr>
            </w:pPr>
          </w:p>
        </w:tc>
        <w:tc>
          <w:tcPr>
            <w:tcW w:w="776"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bCs/>
                <w:color w:val="000000"/>
                <w:szCs w:val="24"/>
              </w:rPr>
              <w:t>Chi square</w:t>
            </w:r>
          </w:p>
        </w:tc>
        <w:tc>
          <w:tcPr>
            <w:tcW w:w="860"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86.28</w:t>
            </w:r>
          </w:p>
        </w:tc>
      </w:tr>
      <w:tr>
        <w:tblPrEx/>
        <w:trPr>
          <w:trHeight w:val="300" w:hRule="atLeast"/>
        </w:trPr>
        <w:tc>
          <w:tcPr>
            <w:tcW w:w="11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rPr>
                <w:rFonts w:cs="Times New Roman" w:eastAsia="Times New Roman"/>
                <w:color w:val="000000"/>
                <w:sz w:val="22"/>
              </w:rPr>
            </w:pPr>
          </w:p>
        </w:tc>
        <w:tc>
          <w:tcPr>
            <w:tcW w:w="519"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ascii="Calibri" w:hAnsi="Calibri"/>
                <w:sz w:val="20"/>
                <w:szCs w:val="20"/>
              </w:rPr>
            </w:pPr>
          </w:p>
        </w:tc>
        <w:tc>
          <w:tcPr>
            <w:tcW w:w="43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ascii="Calibri" w:hAnsi="Calibri"/>
                <w:sz w:val="20"/>
                <w:szCs w:val="20"/>
              </w:rPr>
            </w:pPr>
          </w:p>
        </w:tc>
        <w:tc>
          <w:tcPr>
            <w:tcW w:w="605"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ascii="Calibri" w:hAnsi="Calibri"/>
                <w:sz w:val="20"/>
                <w:szCs w:val="20"/>
              </w:rPr>
            </w:pPr>
          </w:p>
        </w:tc>
        <w:tc>
          <w:tcPr>
            <w:tcW w:w="691"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ascii="Calibri" w:hAnsi="Calibri"/>
                <w:sz w:val="20"/>
                <w:szCs w:val="20"/>
              </w:rPr>
            </w:pPr>
          </w:p>
        </w:tc>
        <w:tc>
          <w:tcPr>
            <w:tcW w:w="776" w:type="pct"/>
            <w:tcBorders>
              <w:top w:val="single" w:sz="4" w:space="0" w:color="auto"/>
              <w:left w:val="single" w:sz="4" w:space="0" w:color="auto"/>
              <w:bottom w:val="single" w:sz="4" w:space="0" w:color="auto"/>
              <w:right w:val="single" w:sz="4" w:space="0" w:color="auto"/>
            </w:tcBorders>
            <w:noWrap/>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Sig. level</w:t>
            </w:r>
          </w:p>
        </w:tc>
        <w:tc>
          <w:tcPr>
            <w:tcW w:w="860" w:type="pct"/>
            <w:tcBorders>
              <w:top w:val="single" w:sz="4" w:space="0" w:color="auto"/>
              <w:left w:val="single" w:sz="4" w:space="0" w:color="auto"/>
              <w:bottom w:val="single" w:sz="4" w:space="0" w:color="auto"/>
              <w:right w:val="single" w:sz="4" w:space="0" w:color="auto"/>
            </w:tcBorders>
            <w:vAlign w:val="bottom"/>
            <w:hideMark/>
          </w:tcPr>
          <w:p>
            <w:pPr>
              <w:pStyle w:val="style0"/>
              <w:spacing w:before="0" w:after="0" w:lineRule="auto" w:line="240"/>
              <w:jc w:val="center"/>
              <w:rPr>
                <w:rFonts w:cs="Times New Roman" w:eastAsia="Times New Roman"/>
                <w:color w:val="000000"/>
                <w:sz w:val="22"/>
              </w:rPr>
            </w:pPr>
            <w:r>
              <w:rPr>
                <w:rFonts w:cs="Times New Roman" w:eastAsia="Times New Roman"/>
                <w:color w:val="000000"/>
                <w:sz w:val="22"/>
              </w:rPr>
              <w:t>0.000</w:t>
            </w:r>
          </w:p>
        </w:tc>
      </w:tr>
    </w:tbl>
    <w:p>
      <w:pPr>
        <w:pStyle w:val="style0"/>
        <w:rPr>
          <w:sz w:val="20"/>
          <w:szCs w:val="20"/>
        </w:rPr>
      </w:pPr>
      <w:r>
        <w:rPr>
          <w:sz w:val="20"/>
          <w:szCs w:val="20"/>
        </w:rPr>
        <w:t>A, B=good/quality grades, C=fair, D, E=poor grades</w:t>
      </w:r>
    </w:p>
    <w:p>
      <w:pPr>
        <w:pStyle w:val="style0"/>
        <w:rPr/>
      </w:pPr>
      <w:r>
        <w:t xml:space="preserve">Pupils from parents with higher academic qualifications fairly performed well academically compared to pupils from parents with lower academic qualifications. As indicated above, more quality grades are attained by most pupils from parents with higher academic qualifications (shaded in green). Most pupils attain poor grades from parents with lower academic qualifications (shaded in yellow). The study findings were statistically significant, supported by a chi-square of 86.28 and a reported p-value of (0.000) less than (the 0.05) significance level. </w:t>
      </w:r>
      <w:r>
        <w:t xml:space="preserve">Thus, the null hypothesis is rejected. Hence, there is a significant relationship between parents’ education level and pupils’ academic achievement in primary schools in Karaba Zone, </w:t>
      </w:r>
      <w:r>
        <w:t>Mbeere</w:t>
      </w:r>
      <w:r>
        <w:t xml:space="preserve"> South Sub-County. </w:t>
      </w:r>
      <w:r>
        <w:t xml:space="preserve">The Chi-square test was meant to show whether there existed any significant association between parents’ level of education and pupils’ academic achievement in primary schools. </w:t>
      </w:r>
    </w:p>
    <w:p>
      <w:pPr>
        <w:pStyle w:val="style0"/>
        <w:ind w:left="720"/>
        <w:rPr>
          <w:rFonts w:cs="Times New Roman"/>
          <w:szCs w:val="24"/>
        </w:rPr>
      </w:pPr>
      <w:r>
        <w:t>‘Parents who sought higher academic qualification may pursue their children to work hard in school as to reach their levels. Learned parents/guardians may also pay closer attention on their child/children academic progress compared to illiterate parents, Head</w:t>
      </w:r>
      <w:r>
        <w:rPr>
          <w:rFonts w:cs="Times New Roman"/>
          <w:szCs w:val="24"/>
        </w:rPr>
        <w:t xml:space="preserve"> teacher 4, [Key Informant Interviewee, 2021].</w:t>
      </w:r>
    </w:p>
    <w:p>
      <w:pPr>
        <w:pStyle w:val="style0"/>
        <w:rPr/>
      </w:pPr>
      <w:r>
        <w:t xml:space="preserve">Highly educated parents will spend much of their time, energy, and money helping their children to perform academically. They will help their children to do homework and even help them to prepare a timetable to follow for their school works at home and </w:t>
      </w:r>
      <w:r>
        <w:t>make sure they abide by it. In the Focus Group Discussion with pupils, 6th and 7th note:</w:t>
      </w:r>
    </w:p>
    <w:p>
      <w:pPr>
        <w:pStyle w:val="style0"/>
        <w:ind w:left="720"/>
        <w:rPr>
          <w:sz w:val="22"/>
        </w:rPr>
      </w:pPr>
      <w:r>
        <w:rPr>
          <w:sz w:val="22"/>
        </w:rPr>
        <w:t>Pupil 6: ‘Both of my parents are teachers in the nearby primary school. Both are college graduates in teaching. They check my class works every time I come in the evening’</w:t>
      </w:r>
    </w:p>
    <w:p>
      <w:pPr>
        <w:pStyle w:val="style0"/>
        <w:ind w:left="720"/>
        <w:rPr>
          <w:sz w:val="22"/>
        </w:rPr>
      </w:pPr>
      <w:r>
        <w:rPr>
          <w:sz w:val="22"/>
        </w:rPr>
        <w:t>Pupil 7: ‘My father completed class eight and didn’t progress to a secondary school or a polytechnic. My mother dropped in class four. Though they always push me to go to school and encourage me to work hard, they do not make a follow up of my work progress in school.’</w:t>
      </w:r>
    </w:p>
    <w:p>
      <w:pPr>
        <w:pStyle w:val="style0"/>
        <w:rPr>
          <w:rFonts w:cs="Times New Roman"/>
          <w:szCs w:val="24"/>
        </w:rPr>
      </w:pPr>
      <w:r>
        <w:t>Parents who pursue education to tertiary levels, including college and university, may be urged to encourage their children to follow their steps. Educated parents may also provide their children with more academic development-related activities to help them successfully utilize the time available at home. In most cases, the parents will employ their educational background, which they fully involve in their children’s learning development. They also ensure that they follow up on their progress in school by keeping in touch with the school authority, especially on their children’s education. The advantages mentioned made it possible for these children to perform well academically compared to those from uneducated parents. The more supportive and conducive environment children get, the better they will perform academically.</w:t>
      </w:r>
      <w:r>
        <w:rPr>
          <w:rStyle w:val="style88"/>
          <w:color w:val="0e101a"/>
        </w:rPr>
        <w:t> </w:t>
      </w:r>
      <w:r>
        <w:t xml:space="preserve">The findings, therefore, imply that parents’ academic qualifications significantly influence their children’s academic achievements. Learning takes place in the everyday </w:t>
      </w:r>
      <w:r>
        <w:t>moments</w:t>
      </w:r>
      <w:r>
        <w:t xml:space="preserve"> parents share with their children, thus considered as first teachers to their children. Parental education has a significant influence on the student’s </w:t>
      </w:r>
      <w:r>
        <w:t>academic achievement</w:t>
      </w:r>
      <w:r>
        <w:t>. Ahmad (</w:t>
      </w:r>
      <w:r>
        <w:t>2020</w:t>
      </w:r>
      <w:r>
        <w:t xml:space="preserve">) suggests that children from households where their parents are less educated tend to perform poorly in school compared to those whose parents are highly educated. Educated parents to help their children feel more comfortable and adjusted to their learning development will actively provide academic, economic, psychological and emotional support, thus resulting in high </w:t>
      </w:r>
      <w:r>
        <w:t>academic achievement</w:t>
      </w:r>
      <w:r>
        <w:t>s. The results further agree with Bakar, Mamat and Ibrahim (</w:t>
      </w:r>
      <w:r>
        <w:t>2021</w:t>
      </w:r>
      <w:r>
        <w:t>) that children from parents with higher educational qualifications will perform better than those from parents with lower educational qualifications.</w:t>
      </w:r>
    </w:p>
    <w:bookmarkStart w:id="161" w:name="_Toc26971024"/>
    <w:bookmarkStart w:id="162" w:name="_Toc461191593"/>
    <w:bookmarkStart w:id="163" w:name="_Toc396214299"/>
    <w:bookmarkStart w:id="164" w:name="_Toc381715215"/>
    <w:bookmarkStart w:id="165" w:name="_Toc409163607"/>
    <w:bookmarkStart w:id="166" w:name="_Toc427085144"/>
    <w:bookmarkStart w:id="167" w:name="_Toc429905172"/>
    <w:bookmarkStart w:id="168" w:name="_Toc458091635"/>
    <w:bookmarkStart w:id="169" w:name="_Toc458092085"/>
    <w:bookmarkStart w:id="170" w:name="_Toc458092243"/>
    <w:bookmarkStart w:id="171" w:name="_Toc459133133"/>
    <w:bookmarkStart w:id="172" w:name="_Toc464283384"/>
    <w:bookmarkStart w:id="173" w:name="_Toc467588544"/>
    <w:bookmarkStart w:id="174" w:name="_Toc486092300"/>
    <w:bookmarkStart w:id="175" w:name="_Toc486414674"/>
    <w:bookmarkStart w:id="176" w:name="_Toc492999364"/>
    <w:p>
      <w:pPr>
        <w:pStyle w:val="style0"/>
        <w:jc w:val="left"/>
        <w:rPr>
          <w:rFonts w:cs="宋体" w:eastAsia="宋体"/>
          <w:b/>
          <w:bCs/>
          <w:szCs w:val="28"/>
        </w:rPr>
      </w:pPr>
      <w:r>
        <w:br w:type="page"/>
      </w:r>
    </w:p>
    <w:bookmarkStart w:id="177" w:name="_Toc144283213"/>
    <w:p>
      <w:pPr>
        <w:pStyle w:val="style1"/>
        <w:spacing w:lineRule="auto" w:line="480"/>
        <w:rPr/>
      </w:pPr>
      <w:r>
        <w:t>CHAPTER FIVE</w:t>
      </w:r>
      <w:bookmarkEnd w:id="161"/>
      <w:bookmarkEnd w:id="177"/>
    </w:p>
    <w:bookmarkStart w:id="178" w:name="_Toc26971025"/>
    <w:bookmarkStart w:id="179" w:name="_Toc144283214"/>
    <w:p>
      <w:pPr>
        <w:pStyle w:val="style1"/>
        <w:spacing w:lineRule="auto" w:line="480"/>
        <w:rPr/>
      </w:pPr>
      <w:r>
        <w:t>SUMMARY, CONCLUSIONS AND RECOMMENDATIONS</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8"/>
      <w:bookmarkEnd w:id="179"/>
    </w:p>
    <w:bookmarkStart w:id="180" w:name="_Toc396214300"/>
    <w:bookmarkStart w:id="181" w:name="_Toc381715216"/>
    <w:bookmarkStart w:id="182" w:name="_Toc371024425"/>
    <w:bookmarkStart w:id="183" w:name="_Toc409163608"/>
    <w:bookmarkStart w:id="184" w:name="_Toc427085145"/>
    <w:bookmarkStart w:id="185" w:name="_Toc429905173"/>
    <w:bookmarkStart w:id="186" w:name="_Toc433987525"/>
    <w:bookmarkStart w:id="187" w:name="_Toc451789682"/>
    <w:bookmarkStart w:id="188" w:name="_Toc458091636"/>
    <w:bookmarkStart w:id="189" w:name="_Toc458092086"/>
    <w:bookmarkStart w:id="190" w:name="_Toc458092244"/>
    <w:bookmarkStart w:id="191" w:name="_Toc459133134"/>
    <w:bookmarkStart w:id="192" w:name="_Toc467588545"/>
    <w:bookmarkStart w:id="193" w:name="_Toc486092301"/>
    <w:bookmarkStart w:id="194" w:name="_Toc486414675"/>
    <w:bookmarkStart w:id="195" w:name="_Toc491724198"/>
    <w:bookmarkStart w:id="196" w:name="_Toc492999365"/>
    <w:bookmarkStart w:id="197" w:name="_Toc26971026"/>
    <w:bookmarkStart w:id="198" w:name="_Toc144283215"/>
    <w:p>
      <w:pPr>
        <w:pStyle w:val="style2"/>
        <w:rPr/>
      </w:pPr>
      <w:r>
        <w:t>5.1</w:t>
      </w:r>
      <w:r>
        <w:t xml:space="preserve"> </w:t>
      </w:r>
      <w:r>
        <w:t>Introduction</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pPr>
        <w:pStyle w:val="style0"/>
        <w:rPr/>
      </w:pPr>
      <w:r>
        <w:t>This chapter provide</w:t>
      </w:r>
      <w:r>
        <w:t>d</w:t>
      </w:r>
      <w:r>
        <w:t xml:space="preserve"> a comprehensive summary of the research findings and conclusions, highlighting the key findings from the study's investigation into the relationship between socioeconomic factors and academic achievement in primary schools in Karaba Zone, </w:t>
      </w:r>
      <w:r>
        <w:t>Mbeere</w:t>
      </w:r>
      <w:r>
        <w:t xml:space="preserve"> South Sub-County. The chapter delve</w:t>
      </w:r>
      <w:r>
        <w:t>d</w:t>
      </w:r>
      <w:r>
        <w:t xml:space="preserve"> into the conclusions drawn from the data analysis. Furthermore, the chapter summarizes recommendations based on the study's findings. These recommendations address</w:t>
      </w:r>
      <w:r>
        <w:t>ed</w:t>
      </w:r>
      <w:r>
        <w:t xml:space="preserve"> the implications of the findings and suggest potential actions that educational institutions, policymakers, and stakeholders could take to improve students' academic achievement in the context of these socioeconomic factors. The research conclude</w:t>
      </w:r>
      <w:r>
        <w:t>d</w:t>
      </w:r>
      <w:r>
        <w:t xml:space="preserve"> this chapter with suggestions for future research areas.</w:t>
      </w:r>
    </w:p>
    <w:bookmarkStart w:id="199" w:name="_Toc26971027"/>
    <w:bookmarkStart w:id="200" w:name="_Toc144283216"/>
    <w:p>
      <w:pPr>
        <w:pStyle w:val="style2"/>
        <w:rPr/>
      </w:pPr>
      <w:r>
        <w:t>5.2</w:t>
      </w:r>
      <w:r>
        <w:t xml:space="preserve"> </w:t>
      </w:r>
      <w:r>
        <w:t>Summary of study</w:t>
      </w:r>
      <w:bookmarkEnd w:id="199"/>
      <w:r>
        <w:t xml:space="preserve"> findings</w:t>
      </w:r>
      <w:bookmarkEnd w:id="200"/>
    </w:p>
    <w:bookmarkStart w:id="201" w:name="_Toc433987531"/>
    <w:bookmarkStart w:id="202" w:name="_Toc451789688"/>
    <w:bookmarkStart w:id="203" w:name="_Toc458091638"/>
    <w:bookmarkStart w:id="204" w:name="_Toc458092088"/>
    <w:bookmarkStart w:id="205" w:name="_Toc458092246"/>
    <w:bookmarkStart w:id="206" w:name="_Toc459133136"/>
    <w:bookmarkStart w:id="207" w:name="_Toc467499874"/>
    <w:bookmarkStart w:id="208" w:name="_Toc486092303"/>
    <w:bookmarkStart w:id="209" w:name="_Toc486414677"/>
    <w:bookmarkStart w:id="210" w:name="_Toc491724199"/>
    <w:bookmarkStart w:id="211" w:name="_Toc492999366"/>
    <w:bookmarkStart w:id="212" w:name="_Toc26971029"/>
    <w:p>
      <w:pPr>
        <w:pStyle w:val="style0"/>
        <w:rPr/>
      </w:pPr>
      <w:r>
        <w:t xml:space="preserve">A correlational research design was used in the study. In Karaba Zone, </w:t>
      </w:r>
      <w:r>
        <w:t>Mbeere</w:t>
      </w:r>
      <w:r>
        <w:t xml:space="preserve"> South Sub-County, the target population included 560 students, 112 teachers, 518 parents, and 14 principals. The study's methodology used a combination of purposive sampling and stratified random sampling to ensure a comprehensive and representative sample that aligned with the research objectives. Primary data were gathered using semi-structured questionnaires distributed to parent representatives and class teachers. Interview guide sessions were held with head teachers, while focus group discussions were held with groups of ten students each. The quantitative data collected via questionnaire were analyzed using descriptive statistics such as means and standard deviations, as well as chi square tests using cross tabulation tables. The qualitative data gathered through the use of interview guides and focus group discussions was analyzed using a content analysis technique, in which participant responses were arranged in themes based on the study's objectives.</w:t>
      </w:r>
    </w:p>
    <w:p>
      <w:pPr>
        <w:pStyle w:val="style0"/>
        <w:rPr/>
      </w:pPr>
      <w:r>
        <w:t xml:space="preserve">The study's first objective was to determine the relationship between a household's income level and students' academic achievement in primary schools in Karaba Zone, </w:t>
      </w:r>
      <w:r>
        <w:t>Mbeere</w:t>
      </w:r>
      <w:r>
        <w:t xml:space="preserve"> South Sub-County. According to the study's descriptive findings, most households' household income was insufficient to meet the needs of the house and </w:t>
      </w:r>
      <w:r>
        <w:t>school. Cross-tabulation results revealed that students from higher-income families outperformed students from lower-income families academically. The findings revealed a link between household income and academic achievement. Pupils from higher-income households tended to get better grades, whereas those from lower-income households tended to get worse grades. This relationship was strengthened by insights from both headteachers and students, highlighting the importance of financial stability in supporting students' academic needs.</w:t>
      </w:r>
    </w:p>
    <w:p>
      <w:pPr>
        <w:pStyle w:val="style0"/>
        <w:rPr/>
      </w:pPr>
      <w:r>
        <w:t xml:space="preserve">The second objective of the study was to determine the relationship between family size and academic achievement in primary schools in Karaba Zone, </w:t>
      </w:r>
      <w:r>
        <w:t>Mbeere</w:t>
      </w:r>
      <w:r>
        <w:t xml:space="preserve"> South Sub-County. The majority of households in this region have more than three children. Larger families put a strain on available resources, limiting each child's chances of achieving a good education. Cross-tabulation results revealed that students from larger households performed academically worse than students from small households. Most students from small households outperform students from large families in terms of academic achievement. The findings revealed that students from smaller family sizes performed better academically than those from larger families. The discussion focused on the potential impact of larger family sizes on available resources and the implications for students' educational opportunities. Insights from headteachers and student narratives supported the observed relationship between family size and academic achievement.</w:t>
      </w:r>
    </w:p>
    <w:p>
      <w:pPr>
        <w:pStyle w:val="style0"/>
        <w:rPr/>
      </w:pPr>
      <w:r>
        <w:t xml:space="preserve">The third </w:t>
      </w:r>
      <w:r>
        <w:t>objective of</w:t>
      </w:r>
      <w:r>
        <w:t xml:space="preserve"> the study was to investigate the relationship between parents' educational level and pupils' academic achievement in primary schools in Karaba Zone, </w:t>
      </w:r>
      <w:r>
        <w:t>Mbeere</w:t>
      </w:r>
      <w:r>
        <w:t xml:space="preserve"> South Sub-County. The majority of parent representatives had a primary, secondary, or certificate education. Few of their parents had completed tertiary education, particularly at the university level. Cross tabulation tables show that students with higher academic qualifications outperformed students with lower academic qualifications. The findings indicated a significant relationship between parents' educational level and their children's academic achievement. Pupils with higher educational qualifications performed better, while those with lower educational backgrounds performed worse. Headteachers' perspectives and student accounts highlighted the positive impact of parental education on their children's academic progress.</w:t>
      </w:r>
    </w:p>
    <w:p>
      <w:pPr>
        <w:pStyle w:val="style0"/>
        <w:rPr/>
      </w:pPr>
      <w:r>
        <w:t xml:space="preserve">In summary, the study's objectives were to investigate the relationships between household income level, family size, parents' education level, and students' academic achievement. The findings provided valuable insights into these relationships in the context of primary schools in Karaba Zone, </w:t>
      </w:r>
      <w:r>
        <w:t>Mbeere</w:t>
      </w:r>
      <w:r>
        <w:t xml:space="preserve"> South Sub-County. The study discovered that higher household income, smaller family sizes, and parents with a higher education were associated with better </w:t>
      </w:r>
      <w:r>
        <w:t>academic achievement</w:t>
      </w:r>
      <w:r>
        <w:t xml:space="preserve"> among students. These findings highlighted the importance of socioeconomic factors in shaping students' educational outcomes, as well as the complex interplay between these factors and academic achievement. The study's findings can help inform educational policies and interventions aimed at improving </w:t>
      </w:r>
      <w:r>
        <w:t>academic achievement</w:t>
      </w:r>
      <w:r>
        <w:t xml:space="preserve"> in primary schools.</w:t>
      </w:r>
    </w:p>
    <w:p>
      <w:pPr>
        <w:pStyle w:val="style0"/>
        <w:rPr/>
      </w:pPr>
      <w:r>
        <w:t>However, the study faced some limitations. One limitation of the study stemmed from respondents' potential reluctance to participate due to concerns about exposing the situation in their schools. This was mitigated by assuring respondents of their participation confidentiality, in which their contribution was anonymous in order to protect their identity. Another limitation was the reliance on students to provide information about their socioeconomic factors, which could lead to inaccuracies if some students did not fully understand or accurately reported their socioeconomic background. Despite acknowledging these elements, the research remained focused on socioeconomic factors in order to investigate their specific relationship with pupils' academic achievement in the defined region.</w:t>
      </w:r>
    </w:p>
    <w:bookmarkStart w:id="213" w:name="_Toc144283217"/>
    <w:p>
      <w:pPr>
        <w:pStyle w:val="style2"/>
        <w:rPr>
          <w:szCs w:val="24"/>
        </w:rPr>
      </w:pPr>
      <w:r>
        <w:rPr>
          <w:szCs w:val="24"/>
        </w:rPr>
        <w:t>5.3</w:t>
      </w:r>
      <w:r>
        <w:rPr>
          <w:szCs w:val="24"/>
        </w:rPr>
        <w:t xml:space="preserve"> </w:t>
      </w:r>
      <w:r>
        <w:rPr>
          <w:szCs w:val="24"/>
        </w:rPr>
        <w:t>Conclusion</w:t>
      </w:r>
      <w:bookmarkEnd w:id="201"/>
      <w:bookmarkEnd w:id="202"/>
      <w:bookmarkEnd w:id="203"/>
      <w:bookmarkEnd w:id="204"/>
      <w:bookmarkEnd w:id="205"/>
      <w:bookmarkEnd w:id="206"/>
      <w:bookmarkEnd w:id="207"/>
      <w:bookmarkEnd w:id="208"/>
      <w:bookmarkEnd w:id="209"/>
      <w:bookmarkEnd w:id="210"/>
      <w:bookmarkEnd w:id="211"/>
      <w:bookmarkEnd w:id="212"/>
      <w:bookmarkEnd w:id="213"/>
    </w:p>
    <w:p>
      <w:pPr>
        <w:pStyle w:val="style0"/>
        <w:rPr/>
      </w:pPr>
      <w:r>
        <w:t>Based on the findings of the study, it is concluded that a significant association exists between higher household income levels and higher academic achievement. Pupils from families with higher incomes tended to achieve more quality grades, while those from families with lower incomes often attained poorer grades. The statistically significant chi-square value and low p-value supported the rejection of the null hypothesis, highlighting the strong link between household income and academic achievement. Interviews with head teachers and pupils' personal experiences reinforced this relationship, emphasizing that sufficient household income can positively impact children's educational outcomes.</w:t>
      </w:r>
      <w:r>
        <w:t xml:space="preserve"> Adequate financial resources appear to facilitate a more conducive learning environment and reduce potential stressors that could hinder academic success.</w:t>
      </w:r>
    </w:p>
    <w:p>
      <w:pPr>
        <w:pStyle w:val="style0"/>
        <w:rPr/>
      </w:pPr>
      <w:r>
        <w:t xml:space="preserve">The study findings </w:t>
      </w:r>
      <w:r>
        <w:t>indicated that pupils from smaller families tended to perform better academically compared to those from larger families. The study found a statistically significant relationship between household family size and academic achievement, as evidenced by the chi-square value and p-value. The findings were consistent with interviews with head teachers and pupils' perspectives, suggesting that larger family sizes might lead to greater pressure on resources and, consequently, lower educational chances for each child. This underscores the importance of family size considerations when addressing students' academic performance.</w:t>
      </w:r>
      <w:r>
        <w:t xml:space="preserve"> The findings suggest that larger family sizes can lead to strained resources and limited attention from parents, potentially affecting children's academic progress. This emphasizes the need for strategies to support pupils from larger families and mitigate the challenges associated with resource limitations.</w:t>
      </w:r>
    </w:p>
    <w:p>
      <w:pPr>
        <w:pStyle w:val="style0"/>
        <w:rPr/>
      </w:pPr>
      <w:r>
        <w:t xml:space="preserve">Further, it is concluded a significant positive relationship between parents' higher academic qualifications and their children's better academic achievement. Pupils whose parents had achieved higher levels of education tended to achieve more quality grades, while those from parents with lower education levels often attained poorer grades. The chi-square test and p-value confirmed the statistical significance of this relationship, aligning with the perceptions of head teachers and pupils. </w:t>
      </w:r>
      <w:r>
        <w:t>Parents with higher education backgrounds are more likely to provide academic support, create conducive learning environments, and emphasize the importance of education.</w:t>
      </w:r>
    </w:p>
    <w:p>
      <w:pPr>
        <w:pStyle w:val="style0"/>
        <w:rPr/>
      </w:pPr>
      <w:r>
        <w:t>In conclusion, the study's findings affirm the substantial impact of socioeconomic factors on pupils' academic achievement. Parents' educational level, family size, and household income emerged as key influencers of students' educational outcomes. The results underscore the importance of targeted interventions and support systems to bridge educational disparities arising from these factors. Policymakers and educators can use these insights to design interventions that provide equitable opportunities for all students, regardless of their family backgrounds. By addressing the challenges associated with family size, parental education, and household income, educational institutions can work toward enhancing overall academic achievements and promoting more inclusive educational outcomes.</w:t>
      </w:r>
    </w:p>
    <w:bookmarkStart w:id="214" w:name="_Toc458091639"/>
    <w:bookmarkStart w:id="215" w:name="_Toc458092089"/>
    <w:bookmarkStart w:id="216" w:name="_Toc458092247"/>
    <w:bookmarkStart w:id="217" w:name="_Toc459133137"/>
    <w:bookmarkStart w:id="218" w:name="_Toc467499875"/>
    <w:bookmarkStart w:id="219" w:name="_Toc486092304"/>
    <w:bookmarkStart w:id="220" w:name="_Toc486414678"/>
    <w:bookmarkStart w:id="221" w:name="_Toc491724200"/>
    <w:bookmarkStart w:id="222" w:name="_Toc492999367"/>
    <w:bookmarkStart w:id="223" w:name="_Toc26971030"/>
    <w:bookmarkStart w:id="224" w:name="_Toc144283218"/>
    <w:p>
      <w:pPr>
        <w:pStyle w:val="style2"/>
        <w:rPr>
          <w:szCs w:val="24"/>
        </w:rPr>
      </w:pPr>
      <w:r>
        <w:rPr>
          <w:szCs w:val="24"/>
        </w:rPr>
        <w:t>5.4</w:t>
      </w:r>
      <w:r>
        <w:rPr>
          <w:szCs w:val="24"/>
        </w:rPr>
        <w:t xml:space="preserve"> </w:t>
      </w:r>
      <w:r>
        <w:rPr>
          <w:szCs w:val="24"/>
        </w:rPr>
        <w:t>Recommendations for study</w:t>
      </w:r>
      <w:bookmarkEnd w:id="214"/>
      <w:bookmarkEnd w:id="215"/>
      <w:bookmarkEnd w:id="216"/>
      <w:bookmarkEnd w:id="217"/>
      <w:bookmarkEnd w:id="218"/>
      <w:bookmarkEnd w:id="219"/>
      <w:bookmarkEnd w:id="220"/>
      <w:bookmarkEnd w:id="221"/>
      <w:bookmarkEnd w:id="222"/>
      <w:bookmarkEnd w:id="223"/>
      <w:bookmarkEnd w:id="224"/>
    </w:p>
    <w:p>
      <w:pPr>
        <w:pStyle w:val="style0"/>
        <w:rPr/>
      </w:pPr>
      <w:r>
        <w:t>The study's recommendations encompass a range of interventions aimed at addressing the identified factors influencing pupils' academic achievement.</w:t>
      </w:r>
    </w:p>
    <w:p>
      <w:pPr>
        <w:pStyle w:val="style0"/>
        <w:rPr/>
      </w:pPr>
      <w:r>
        <w:t>The research underscores the significance of household income as a determinant of pupils' academic progress. The study recommends that the Embu County Ministry of Education should establish an educational intervention policy to support children from low-income households. This policy could involve the provision of school stationery items, such as extra reading materials, pens, and writing materials, to pupils in need. Furthermore, parents and guardians are encouraged to explore diverse income sources to meet their children's academic needs, including purchasing stationery, funding academic tours, remedial classes, and examination fees. The national government, through the Ministry of Education, recommends enact policies that promote students' school attendance and academic success, potentially offering financial support like bursaries to economically disadvantaged students.</w:t>
      </w:r>
    </w:p>
    <w:p>
      <w:pPr>
        <w:pStyle w:val="style0"/>
        <w:rPr/>
      </w:pPr>
      <w:r>
        <w:t>The study finds that family size can impact pupils' academic achievement positively or negatively, depending on the number of children in a household. To address this, the study recommends initiating sensitization campaigns and family planning educational programs within Karaba Zone. These efforts would aim to raise awareness among parents about the importance of family planning and having a number of children that can be comfortably educated without straining family resources. By promoting responsible family planning, the community can help ensure that parents can provide adequate support and attention to their children's education.</w:t>
      </w:r>
    </w:p>
    <w:p>
      <w:pPr>
        <w:pStyle w:val="style0"/>
        <w:rPr/>
      </w:pPr>
      <w:r>
        <w:t>The research emphasizes the role of parents' educational background in influencing children's attitude toward education. The study recommends for the government and educational stakeholders to implement policies that promote universal access to basic education. By creating an educated society where all parents have the opportunity to attain education, the foundation is laid for parents to instill the value of education in their children. Additionally, the study points out the importance of tracking children who transition from primary to secondary school, ensuring they continue their education. Establishing and enforcing such initiatives could contribute to higher levels of education attainment and more informed parents who prioritize their children's education.</w:t>
      </w:r>
    </w:p>
    <w:p>
      <w:pPr>
        <w:pStyle w:val="style0"/>
        <w:rPr/>
      </w:pPr>
      <w:r>
        <w:t>In summary, the study's recommendations highlight the need for comprehensive policies and interventions to address the multifaceted challenges influencing pupils' academic achievement. By addressing factors such as household income, family size, and parents' level of education, education authorities can work toward creating an environment that supports equitable educational opportunities for all students. These recommendations offer a roadmap for educational policymakers and stakeholders to enhance academic outcomes and create a more inclusive and empowered educational system in Karaba Zone and beyond.</w:t>
      </w:r>
    </w:p>
    <w:bookmarkStart w:id="225" w:name="_Toc458091640"/>
    <w:bookmarkStart w:id="226" w:name="_Toc458092090"/>
    <w:bookmarkStart w:id="227" w:name="_Toc458092248"/>
    <w:bookmarkStart w:id="228" w:name="_Toc459133138"/>
    <w:bookmarkStart w:id="229" w:name="_Toc467499876"/>
    <w:bookmarkStart w:id="230" w:name="_Toc486092305"/>
    <w:bookmarkStart w:id="231" w:name="_Toc486414679"/>
    <w:bookmarkStart w:id="232" w:name="_Toc491724201"/>
    <w:bookmarkStart w:id="233" w:name="_Toc492999368"/>
    <w:bookmarkStart w:id="234" w:name="_Toc26971031"/>
    <w:bookmarkStart w:id="235" w:name="_Toc45891319"/>
    <w:bookmarkStart w:id="236" w:name="_Toc144283219"/>
    <w:p>
      <w:pPr>
        <w:pStyle w:val="style2"/>
        <w:rPr/>
      </w:pPr>
      <w:r>
        <w:t>5.5</w:t>
      </w:r>
      <w:r>
        <w:t xml:space="preserve"> </w:t>
      </w:r>
      <w:r>
        <w:t>Suggestions for further study</w:t>
      </w:r>
      <w:bookmarkEnd w:id="225"/>
      <w:bookmarkEnd w:id="226"/>
      <w:bookmarkEnd w:id="227"/>
      <w:bookmarkEnd w:id="228"/>
      <w:bookmarkEnd w:id="229"/>
      <w:bookmarkEnd w:id="230"/>
      <w:bookmarkEnd w:id="231"/>
      <w:bookmarkEnd w:id="232"/>
      <w:bookmarkEnd w:id="233"/>
      <w:bookmarkEnd w:id="234"/>
      <w:bookmarkEnd w:id="235"/>
      <w:bookmarkEnd w:id="236"/>
    </w:p>
    <w:p>
      <w:pPr>
        <w:pStyle w:val="style0"/>
        <w:rPr>
          <w:rFonts w:cs="Times New Roman"/>
          <w:szCs w:val="24"/>
        </w:rPr>
      </w:pPr>
      <w:r>
        <w:rPr>
          <w:rFonts w:cs="Times New Roman"/>
          <w:szCs w:val="24"/>
        </w:rPr>
        <w:t>The study suggests that future research should focus on various aspects of academic achievement, such as students' intelligence quotients and cognitive abilities, teachers' morale and teaching quality, the impact of academic facilities and learning environments, the efficacy of government support and educational policies, and the role of school management leadership. Researchers can gain nuanced insights into the intricate interplay between various elements that shape students' academic performance by investigating these additional dimensions, contributing to a more holistic understanding of educational outcomes and informing strategies for fostering enhanced learning environments and student success.</w:t>
      </w: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bookmarkStart w:id="237" w:name="_Toc144283220"/>
    <w:p>
      <w:pPr>
        <w:pStyle w:val="style1"/>
        <w:spacing w:lineRule="auto" w:line="240"/>
        <w:rPr/>
      </w:pPr>
      <w:r>
        <w:t>REFERENCES</w:t>
      </w:r>
      <w:bookmarkEnd w:id="237"/>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Adeyemi, T. O. (2021). Influence of teachers' teaching experience on students' learning outcomes in secondary schools in Ondo State, Nigeria. </w:t>
      </w:r>
      <w:r>
        <w:rPr>
          <w:rFonts w:cs="Times New Roman"/>
          <w:i/>
          <w:iCs/>
          <w:color w:val="222222"/>
          <w:szCs w:val="24"/>
          <w:shd w:val="clear" w:color="auto" w:fill="ffffff"/>
        </w:rPr>
        <w:t>African Journal of Educational Studies in Mathematics and Sciences</w:t>
      </w:r>
      <w:r>
        <w:rPr>
          <w:rFonts w:cs="Times New Roman"/>
          <w:color w:val="222222"/>
          <w:szCs w:val="24"/>
          <w:shd w:val="clear" w:color="auto" w:fill="ffffff"/>
        </w:rPr>
        <w:t>, </w:t>
      </w:r>
      <w:r>
        <w:rPr>
          <w:rFonts w:cs="Times New Roman"/>
          <w:i/>
          <w:iCs/>
          <w:color w:val="222222"/>
          <w:szCs w:val="24"/>
          <w:shd w:val="clear" w:color="auto" w:fill="ffffff"/>
        </w:rPr>
        <w:t>5</w:t>
      </w:r>
      <w:r>
        <w:rPr>
          <w:rFonts w:cs="Times New Roman"/>
          <w:color w:val="222222"/>
          <w:szCs w:val="24"/>
          <w:shd w:val="clear" w:color="auto" w:fill="ffffff"/>
        </w:rPr>
        <w:t>(1), 09-19.</w:t>
      </w:r>
    </w:p>
    <w:p>
      <w:pPr>
        <w:pStyle w:val="style0"/>
        <w:spacing w:lineRule="auto" w:line="240"/>
        <w:ind w:left="720" w:hanging="720"/>
        <w:rPr>
          <w:rFonts w:cs="Times New Roman"/>
          <w:szCs w:val="24"/>
          <w:lang w:val="en-GB"/>
        </w:rPr>
      </w:pPr>
      <w:r>
        <w:rPr>
          <w:rFonts w:cs="Times New Roman"/>
          <w:szCs w:val="24"/>
          <w:lang w:val="en-GB"/>
        </w:rPr>
        <w:t>Aga, S. M. (2022). </w:t>
      </w:r>
      <w:r>
        <w:rPr>
          <w:rFonts w:cs="Times New Roman"/>
          <w:i/>
          <w:iCs/>
          <w:szCs w:val="24"/>
          <w:lang w:val="en-GB"/>
        </w:rPr>
        <w:t xml:space="preserve">Influence of Social-Economic Factors on Retention of Boys in Public Secondary Schools in </w:t>
      </w:r>
      <w:r>
        <w:rPr>
          <w:rFonts w:cs="Times New Roman"/>
          <w:i/>
          <w:iCs/>
          <w:szCs w:val="24"/>
          <w:lang w:val="en-GB"/>
        </w:rPr>
        <w:t>Marsabit</w:t>
      </w:r>
      <w:r>
        <w:rPr>
          <w:rFonts w:cs="Times New Roman"/>
          <w:i/>
          <w:iCs/>
          <w:szCs w:val="24"/>
          <w:lang w:val="en-GB"/>
        </w:rPr>
        <w:t xml:space="preserve"> County, Kenya</w:t>
      </w:r>
      <w:r>
        <w:rPr>
          <w:rFonts w:cs="Times New Roman"/>
          <w:szCs w:val="24"/>
          <w:lang w:val="en-GB"/>
        </w:rPr>
        <w:t xml:space="preserve"> (Doctoral dissertation, </w:t>
      </w:r>
      <w:r>
        <w:rPr>
          <w:rFonts w:cs="Times New Roman"/>
          <w:szCs w:val="24"/>
          <w:lang w:val="en-GB"/>
        </w:rPr>
        <w:t>KeMU</w:t>
      </w:r>
      <w:r>
        <w:rPr>
          <w:rFonts w:cs="Times New Roman"/>
          <w:szCs w:val="24"/>
          <w:lang w:val="en-GB"/>
        </w:rPr>
        <w:t>).</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Akhtar, Z. (2020). Socio-economic status factors effecting the student’s achievement: a predictive study. </w:t>
      </w:r>
      <w:r>
        <w:rPr>
          <w:rFonts w:cs="Times New Roman"/>
          <w:i/>
          <w:iCs/>
          <w:color w:val="222222"/>
          <w:szCs w:val="24"/>
          <w:shd w:val="clear" w:color="auto" w:fill="ffffff"/>
        </w:rPr>
        <w:t>International Journal of Social Sciences and Education</w:t>
      </w:r>
      <w:r>
        <w:rPr>
          <w:rFonts w:cs="Times New Roman"/>
          <w:color w:val="222222"/>
          <w:szCs w:val="24"/>
          <w:shd w:val="clear" w:color="auto" w:fill="ffffff"/>
        </w:rPr>
        <w:t>, </w:t>
      </w:r>
      <w:r>
        <w:rPr>
          <w:rFonts w:cs="Times New Roman"/>
          <w:i/>
          <w:iCs/>
          <w:color w:val="222222"/>
          <w:szCs w:val="24"/>
          <w:shd w:val="clear" w:color="auto" w:fill="ffffff"/>
        </w:rPr>
        <w:t>2</w:t>
      </w:r>
      <w:r>
        <w:rPr>
          <w:rFonts w:cs="Times New Roman"/>
          <w:color w:val="222222"/>
          <w:szCs w:val="24"/>
          <w:shd w:val="clear" w:color="auto" w:fill="ffffff"/>
        </w:rPr>
        <w:t>(1), 281-287.</w:t>
      </w:r>
    </w:p>
    <w:p>
      <w:pPr>
        <w:pStyle w:val="style0"/>
        <w:spacing w:lineRule="auto" w:line="240"/>
        <w:ind w:left="720" w:hanging="720"/>
        <w:rPr>
          <w:rFonts w:cs="Times New Roman"/>
          <w:szCs w:val="24"/>
        </w:rPr>
      </w:pPr>
      <w:r>
        <w:rPr>
          <w:rFonts w:cs="Times New Roman"/>
          <w:color w:val="222222"/>
          <w:szCs w:val="24"/>
          <w:shd w:val="clear" w:color="auto" w:fill="ffffff"/>
        </w:rPr>
        <w:t>Amoo, T. B., Adeyinka, O. P., &amp; Aderibigbe, A. D. (2018). Perceived Effects of Parental Socio-economic Status on Students' Academic achievement among Teachers in Odeda Local Government, Ogun State, Nigeria. </w:t>
      </w:r>
      <w:r>
        <w:rPr>
          <w:rFonts w:cs="Times New Roman"/>
          <w:i/>
          <w:iCs/>
          <w:color w:val="222222"/>
          <w:szCs w:val="24"/>
          <w:shd w:val="clear" w:color="auto" w:fill="ffffff"/>
        </w:rPr>
        <w:t>International Journal of Academic Research in Business and Social Sciences</w:t>
      </w:r>
      <w:r>
        <w:rPr>
          <w:rFonts w:cs="Times New Roman"/>
          <w:color w:val="222222"/>
          <w:szCs w:val="24"/>
          <w:shd w:val="clear" w:color="auto" w:fill="ffffff"/>
        </w:rPr>
        <w:t>, </w:t>
      </w:r>
      <w:r>
        <w:rPr>
          <w:rFonts w:cs="Times New Roman"/>
          <w:i/>
          <w:iCs/>
          <w:color w:val="222222"/>
          <w:szCs w:val="24"/>
          <w:shd w:val="clear" w:color="auto" w:fill="ffffff"/>
        </w:rPr>
        <w:t>8</w:t>
      </w:r>
      <w:r>
        <w:rPr>
          <w:rFonts w:cs="Times New Roman"/>
          <w:color w:val="222222"/>
          <w:szCs w:val="24"/>
          <w:shd w:val="clear" w:color="auto" w:fill="ffffff"/>
        </w:rPr>
        <w:t>(2), 262-272.</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Amuda, B. G., &amp; Ali, D. G. (2021). Parents’ level of education as predictors of academic achievement of </w:t>
      </w:r>
      <w:r>
        <w:rPr>
          <w:rFonts w:cs="Times New Roman"/>
          <w:color w:val="222222"/>
          <w:szCs w:val="24"/>
          <w:shd w:val="clear" w:color="auto" w:fill="ffffff"/>
        </w:rPr>
        <w:t>Nce</w:t>
      </w:r>
      <w:r>
        <w:rPr>
          <w:rFonts w:cs="Times New Roman"/>
          <w:color w:val="222222"/>
          <w:szCs w:val="24"/>
          <w:shd w:val="clear" w:color="auto" w:fill="ffffff"/>
        </w:rPr>
        <w:t xml:space="preserve"> students of colleges of education in the North-Eastern States of Nigeria. </w:t>
      </w:r>
      <w:r>
        <w:rPr>
          <w:rFonts w:cs="Times New Roman"/>
          <w:i/>
          <w:iCs/>
          <w:color w:val="222222"/>
          <w:szCs w:val="24"/>
          <w:shd w:val="clear" w:color="auto" w:fill="ffffff"/>
        </w:rPr>
        <w:t xml:space="preserve"> Journal of Humanities </w:t>
      </w:r>
      <w:r>
        <w:rPr>
          <w:rFonts w:cs="Times New Roman"/>
          <w:i/>
          <w:iCs/>
          <w:color w:val="222222"/>
          <w:szCs w:val="24"/>
          <w:shd w:val="clear" w:color="auto" w:fill="ffffff"/>
        </w:rPr>
        <w:t>and</w:t>
      </w:r>
      <w:r>
        <w:rPr>
          <w:rFonts w:cs="Times New Roman"/>
          <w:i/>
          <w:iCs/>
          <w:color w:val="222222"/>
          <w:szCs w:val="24"/>
          <w:shd w:val="clear" w:color="auto" w:fill="ffffff"/>
        </w:rPr>
        <w:t xml:space="preserve"> Social Science (IOSR-JHSS)</w:t>
      </w:r>
      <w:r>
        <w:rPr>
          <w:rFonts w:cs="Times New Roman"/>
          <w:color w:val="222222"/>
          <w:szCs w:val="24"/>
          <w:shd w:val="clear" w:color="auto" w:fill="ffffff"/>
        </w:rPr>
        <w:t>, </w:t>
      </w:r>
      <w:r>
        <w:rPr>
          <w:rFonts w:cs="Times New Roman"/>
          <w:i/>
          <w:iCs/>
          <w:color w:val="222222"/>
          <w:szCs w:val="24"/>
          <w:shd w:val="clear" w:color="auto" w:fill="ffffff"/>
        </w:rPr>
        <w:t>21</w:t>
      </w:r>
      <w:r>
        <w:rPr>
          <w:rFonts w:cs="Times New Roman"/>
          <w:color w:val="222222"/>
          <w:szCs w:val="24"/>
          <w:shd w:val="clear" w:color="auto" w:fill="ffffff"/>
        </w:rPr>
        <w:t>(2), 41-47.</w:t>
      </w:r>
    </w:p>
    <w:p>
      <w:pPr>
        <w:pStyle w:val="style0"/>
        <w:spacing w:lineRule="auto" w:line="240"/>
        <w:ind w:left="720" w:hanging="720"/>
        <w:rPr>
          <w:rFonts w:cs="Times New Roman"/>
          <w:szCs w:val="24"/>
          <w:lang w:val="en-GB"/>
        </w:rPr>
      </w:pPr>
      <w:r>
        <w:rPr>
          <w:rFonts w:cs="Times New Roman"/>
          <w:szCs w:val="24"/>
          <w:lang w:val="en-GB"/>
        </w:rPr>
        <w:t>Asain</w:t>
      </w:r>
      <w:r>
        <w:rPr>
          <w:rFonts w:cs="Times New Roman"/>
          <w:szCs w:val="24"/>
          <w:lang w:val="en-GB"/>
        </w:rPr>
        <w:t xml:space="preserve">, M., </w:t>
      </w:r>
      <w:r>
        <w:rPr>
          <w:rFonts w:cs="Times New Roman"/>
          <w:szCs w:val="24"/>
          <w:lang w:val="en-GB"/>
        </w:rPr>
        <w:t>Fyneboy</w:t>
      </w:r>
      <w:r>
        <w:rPr>
          <w:rFonts w:cs="Times New Roman"/>
          <w:szCs w:val="24"/>
          <w:lang w:val="en-GB"/>
        </w:rPr>
        <w:t xml:space="preserve">, E., &amp; </w:t>
      </w:r>
      <w:r>
        <w:rPr>
          <w:rFonts w:cs="Times New Roman"/>
          <w:szCs w:val="24"/>
          <w:lang w:val="en-GB"/>
        </w:rPr>
        <w:t>Agulanna</w:t>
      </w:r>
      <w:r>
        <w:rPr>
          <w:rFonts w:cs="Times New Roman"/>
          <w:szCs w:val="24"/>
          <w:lang w:val="en-GB"/>
        </w:rPr>
        <w:t xml:space="preserve">, G. G. (2020). Family Forms </w:t>
      </w:r>
      <w:r>
        <w:rPr>
          <w:rFonts w:cs="Times New Roman"/>
          <w:szCs w:val="24"/>
          <w:lang w:val="en-GB"/>
        </w:rPr>
        <w:t>and</w:t>
      </w:r>
      <w:r>
        <w:rPr>
          <w:rFonts w:cs="Times New Roman"/>
          <w:szCs w:val="24"/>
          <w:lang w:val="en-GB"/>
        </w:rPr>
        <w:t xml:space="preserve"> Well Being </w:t>
      </w:r>
      <w:r>
        <w:rPr>
          <w:rFonts w:cs="Times New Roman"/>
          <w:szCs w:val="24"/>
          <w:lang w:val="en-GB"/>
        </w:rPr>
        <w:t>as</w:t>
      </w:r>
      <w:r>
        <w:rPr>
          <w:rFonts w:cs="Times New Roman"/>
          <w:szCs w:val="24"/>
          <w:lang w:val="en-GB"/>
        </w:rPr>
        <w:t xml:space="preserve"> Correlates </w:t>
      </w:r>
      <w:r>
        <w:rPr>
          <w:rFonts w:cs="Times New Roman"/>
          <w:szCs w:val="24"/>
          <w:lang w:val="en-GB"/>
        </w:rPr>
        <w:t>Of</w:t>
      </w:r>
      <w:r>
        <w:rPr>
          <w:rFonts w:cs="Times New Roman"/>
          <w:szCs w:val="24"/>
          <w:lang w:val="en-GB"/>
        </w:rPr>
        <w:t xml:space="preserve"> </w:t>
      </w:r>
      <w:r>
        <w:rPr>
          <w:rFonts w:cs="Times New Roman"/>
          <w:szCs w:val="24"/>
          <w:lang w:val="en-GB"/>
        </w:rPr>
        <w:t>Pupils’academic</w:t>
      </w:r>
      <w:r>
        <w:rPr>
          <w:rFonts w:cs="Times New Roman"/>
          <w:szCs w:val="24"/>
          <w:lang w:val="en-GB"/>
        </w:rPr>
        <w:t xml:space="preserve"> Achievement In Bayelsa State. </w:t>
      </w:r>
      <w:r>
        <w:rPr>
          <w:rFonts w:cs="Times New Roman"/>
          <w:i/>
          <w:iCs/>
          <w:szCs w:val="24"/>
          <w:lang w:val="en-GB"/>
        </w:rPr>
        <w:t>Journal of the Nigerian Council of Educational Psychologists</w:t>
      </w:r>
      <w:r>
        <w:rPr>
          <w:rFonts w:cs="Times New Roman"/>
          <w:szCs w:val="24"/>
          <w:lang w:val="en-GB"/>
        </w:rPr>
        <w:t>, </w:t>
      </w:r>
      <w:r>
        <w:rPr>
          <w:rFonts w:cs="Times New Roman"/>
          <w:i/>
          <w:iCs/>
          <w:szCs w:val="24"/>
          <w:lang w:val="en-GB"/>
        </w:rPr>
        <w:t>13</w:t>
      </w:r>
      <w:r>
        <w:rPr>
          <w:rFonts w:cs="Times New Roman"/>
          <w:szCs w:val="24"/>
          <w:lang w:val="en-GB"/>
        </w:rPr>
        <w:t>(1).</w:t>
      </w:r>
    </w:p>
    <w:p>
      <w:pPr>
        <w:pStyle w:val="style0"/>
        <w:spacing w:lineRule="auto" w:line="240"/>
        <w:ind w:left="720" w:hanging="720"/>
        <w:rPr>
          <w:rFonts w:cs="Times New Roman"/>
          <w:szCs w:val="24"/>
          <w:lang w:val="en-GB"/>
        </w:rPr>
      </w:pPr>
      <w:r>
        <w:rPr>
          <w:rFonts w:cs="Times New Roman"/>
          <w:szCs w:val="24"/>
          <w:lang w:val="en-GB"/>
        </w:rPr>
        <w:t>Azhar, M., Nadeem, S., Naz, F., Perveen, F., &amp; Sameen, A. (2014). Impact of parental education and socio-economic status on academic achievements of university students. </w:t>
      </w:r>
      <w:r>
        <w:rPr>
          <w:rFonts w:cs="Times New Roman"/>
          <w:i/>
          <w:iCs/>
          <w:szCs w:val="24"/>
          <w:lang w:val="en-GB"/>
        </w:rPr>
        <w:t>European Journal of Psychological Research</w:t>
      </w:r>
      <w:r>
        <w:rPr>
          <w:rFonts w:cs="Times New Roman"/>
          <w:szCs w:val="24"/>
          <w:lang w:val="en-GB"/>
        </w:rPr>
        <w:t>, </w:t>
      </w:r>
      <w:r>
        <w:rPr>
          <w:rFonts w:cs="Times New Roman"/>
          <w:i/>
          <w:iCs/>
          <w:szCs w:val="24"/>
          <w:lang w:val="en-GB"/>
        </w:rPr>
        <w:t>1</w:t>
      </w:r>
      <w:r>
        <w:rPr>
          <w:rFonts w:cs="Times New Roman"/>
          <w:szCs w:val="24"/>
          <w:lang w:val="en-GB"/>
        </w:rPr>
        <w:t>(1).</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Bakar, N. A., Mamat, I., &amp; Ibrahim, M. (2021). Influence of parental education on academic achievement of secondary school students in Kuala Terengganu. </w:t>
      </w:r>
      <w:r>
        <w:rPr>
          <w:rFonts w:cs="Times New Roman"/>
          <w:i/>
          <w:iCs/>
          <w:color w:val="222222"/>
          <w:szCs w:val="24"/>
          <w:shd w:val="clear" w:color="auto" w:fill="ffffff"/>
        </w:rPr>
        <w:t>International Journal of Academic Research in Business and Social Sciences</w:t>
      </w:r>
      <w:r>
        <w:rPr>
          <w:rFonts w:cs="Times New Roman"/>
          <w:color w:val="222222"/>
          <w:szCs w:val="24"/>
          <w:shd w:val="clear" w:color="auto" w:fill="ffffff"/>
        </w:rPr>
        <w:t>, </w:t>
      </w:r>
      <w:r>
        <w:rPr>
          <w:rFonts w:cs="Times New Roman"/>
          <w:i/>
          <w:iCs/>
          <w:color w:val="222222"/>
          <w:szCs w:val="24"/>
          <w:shd w:val="clear" w:color="auto" w:fill="ffffff"/>
        </w:rPr>
        <w:t>7</w:t>
      </w:r>
      <w:r>
        <w:rPr>
          <w:rFonts w:cs="Times New Roman"/>
          <w:color w:val="222222"/>
          <w:szCs w:val="24"/>
          <w:shd w:val="clear" w:color="auto" w:fill="ffffff"/>
        </w:rPr>
        <w:t>(8), 296-304.</w:t>
      </w:r>
    </w:p>
    <w:p>
      <w:pPr>
        <w:pStyle w:val="style0"/>
        <w:spacing w:lineRule="auto" w:line="240"/>
        <w:ind w:left="720" w:hanging="720"/>
        <w:rPr>
          <w:rFonts w:cs="Times New Roman"/>
          <w:szCs w:val="24"/>
        </w:rPr>
      </w:pPr>
      <w:r>
        <w:rPr>
          <w:rFonts w:cs="Times New Roman"/>
          <w:szCs w:val="24"/>
        </w:rPr>
        <w:t>Baliyan</w:t>
      </w:r>
      <w:r>
        <w:rPr>
          <w:rFonts w:cs="Times New Roman"/>
          <w:szCs w:val="24"/>
        </w:rPr>
        <w:t xml:space="preserve">, S.P., </w:t>
      </w:r>
      <w:r>
        <w:rPr>
          <w:rFonts w:cs="Times New Roman"/>
          <w:szCs w:val="24"/>
        </w:rPr>
        <w:t>Madhava, K.S.</w:t>
      </w:r>
      <w:r>
        <w:rPr>
          <w:rFonts w:cs="Times New Roman"/>
          <w:szCs w:val="24"/>
        </w:rPr>
        <w:t xml:space="preserve"> &amp; </w:t>
      </w:r>
      <w:r>
        <w:rPr>
          <w:rFonts w:cs="Times New Roman"/>
          <w:szCs w:val="24"/>
        </w:rPr>
        <w:t>Baliyan,P.S</w:t>
      </w:r>
      <w:r>
        <w:rPr>
          <w:rFonts w:cs="Times New Roman"/>
          <w:szCs w:val="24"/>
        </w:rPr>
        <w:t xml:space="preserve">. (2021). Influence Of Parental Education </w:t>
      </w:r>
      <w:r>
        <w:rPr>
          <w:rFonts w:cs="Times New Roman"/>
          <w:szCs w:val="24"/>
        </w:rPr>
        <w:t>And</w:t>
      </w:r>
      <w:r>
        <w:rPr>
          <w:rFonts w:cs="Times New Roman"/>
          <w:szCs w:val="24"/>
        </w:rPr>
        <w:t xml:space="preserve"> Income Level On Students’ Performance In Senior Secondary School Mathematics In Botswana, </w:t>
      </w:r>
      <w:r>
        <w:rPr>
          <w:rFonts w:cs="Times New Roman"/>
          <w:i/>
          <w:szCs w:val="24"/>
        </w:rPr>
        <w:t>Global Research Journal On Mathematics And Science Education</w:t>
      </w:r>
      <w:r>
        <w:rPr>
          <w:rFonts w:cs="Times New Roman"/>
          <w:szCs w:val="24"/>
        </w:rPr>
        <w:t>, 4 (7), 145-158.</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 xml:space="preserve">Baranowska-Rataj, A., </w:t>
      </w:r>
      <w:r>
        <w:rPr>
          <w:rFonts w:cs="Times New Roman"/>
          <w:szCs w:val="24"/>
          <w:shd w:val="clear" w:color="auto" w:fill="ffffff"/>
        </w:rPr>
        <w:t>Styrc</w:t>
      </w:r>
      <w:r>
        <w:rPr>
          <w:rFonts w:cs="Times New Roman"/>
          <w:szCs w:val="24"/>
          <w:shd w:val="clear" w:color="auto" w:fill="ffffff"/>
        </w:rPr>
        <w:t>, M., &amp; da Silva, G. C. (2021). The Impact of Family Size on Educational Attainment in Cross-Country Comparative Perspective.</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Bonney, E. A., Amoah, D. F., Micah, S. A., </w:t>
      </w:r>
      <w:r>
        <w:rPr>
          <w:rFonts w:cs="Times New Roman"/>
          <w:color w:val="222222"/>
          <w:szCs w:val="24"/>
          <w:shd w:val="clear" w:color="auto" w:fill="ffffff"/>
        </w:rPr>
        <w:t>Ahiamenyo</w:t>
      </w:r>
      <w:r>
        <w:rPr>
          <w:rFonts w:cs="Times New Roman"/>
          <w:color w:val="222222"/>
          <w:szCs w:val="24"/>
          <w:shd w:val="clear" w:color="auto" w:fill="ffffff"/>
        </w:rPr>
        <w:t>, C., &amp; Lemaire, M. B. (2021). The Relationship between the Quality of Teachers and Pupils Academic achievement in the STMA Junior High Schools of the Western Region of Ghana. </w:t>
      </w:r>
      <w:r>
        <w:rPr>
          <w:rFonts w:cs="Times New Roman"/>
          <w:i/>
          <w:iCs/>
          <w:color w:val="222222"/>
          <w:szCs w:val="24"/>
          <w:shd w:val="clear" w:color="auto" w:fill="ffffff"/>
        </w:rPr>
        <w:t>Journal of Education and practice</w:t>
      </w:r>
      <w:r>
        <w:rPr>
          <w:rFonts w:cs="Times New Roman"/>
          <w:color w:val="222222"/>
          <w:szCs w:val="24"/>
          <w:shd w:val="clear" w:color="auto" w:fill="ffffff"/>
        </w:rPr>
        <w:t>, </w:t>
      </w:r>
      <w:r>
        <w:rPr>
          <w:rFonts w:cs="Times New Roman"/>
          <w:i/>
          <w:iCs/>
          <w:color w:val="222222"/>
          <w:szCs w:val="24"/>
          <w:shd w:val="clear" w:color="auto" w:fill="ffffff"/>
        </w:rPr>
        <w:t>6</w:t>
      </w:r>
      <w:r>
        <w:rPr>
          <w:rFonts w:cs="Times New Roman"/>
          <w:color w:val="222222"/>
          <w:szCs w:val="24"/>
          <w:shd w:val="clear" w:color="auto" w:fill="ffffff"/>
        </w:rPr>
        <w:t>(24), 139-150.</w:t>
      </w:r>
    </w:p>
    <w:p>
      <w:pPr>
        <w:pStyle w:val="style0"/>
        <w:spacing w:lineRule="auto" w:line="240"/>
        <w:ind w:left="720" w:hanging="720"/>
        <w:rPr>
          <w:rFonts w:cs="Times New Roman"/>
          <w:szCs w:val="24"/>
          <w:lang w:val="en-GB"/>
        </w:rPr>
      </w:pPr>
      <w:r>
        <w:rPr>
          <w:rFonts w:cs="Times New Roman"/>
          <w:szCs w:val="24"/>
          <w:lang w:val="en-GB"/>
        </w:rPr>
        <w:t>Bruinsma, M., &amp; Jansen, E. P. W. A. (2007). Educational productivity in higher education: An examination of part of the Walberg educational productivity model. </w:t>
      </w:r>
      <w:r>
        <w:rPr>
          <w:rFonts w:cs="Times New Roman"/>
          <w:i/>
          <w:iCs/>
          <w:szCs w:val="24"/>
          <w:lang w:val="en-GB"/>
        </w:rPr>
        <w:t>School Effectiveness and School Improvement</w:t>
      </w:r>
      <w:r>
        <w:rPr>
          <w:rFonts w:cs="Times New Roman"/>
          <w:szCs w:val="24"/>
          <w:lang w:val="en-GB"/>
        </w:rPr>
        <w:t>, </w:t>
      </w:r>
      <w:r>
        <w:rPr>
          <w:rFonts w:cs="Times New Roman"/>
          <w:i/>
          <w:iCs/>
          <w:szCs w:val="24"/>
          <w:lang w:val="en-GB"/>
        </w:rPr>
        <w:t>18</w:t>
      </w:r>
      <w:r>
        <w:rPr>
          <w:rFonts w:cs="Times New Roman"/>
          <w:szCs w:val="24"/>
          <w:lang w:val="en-GB"/>
        </w:rPr>
        <w:t>(1), 45-65.</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Considine, G., &amp; </w:t>
      </w:r>
      <w:r>
        <w:rPr>
          <w:rFonts w:cs="Times New Roman"/>
          <w:color w:val="222222"/>
          <w:szCs w:val="24"/>
          <w:shd w:val="clear" w:color="auto" w:fill="ffffff"/>
        </w:rPr>
        <w:t>Zappalà</w:t>
      </w:r>
      <w:r>
        <w:rPr>
          <w:rFonts w:cs="Times New Roman"/>
          <w:color w:val="222222"/>
          <w:szCs w:val="24"/>
          <w:shd w:val="clear" w:color="auto" w:fill="ffffff"/>
        </w:rPr>
        <w:t>, G. (2020). Factors influencing the educational performance of students from disadvantaged backgrounds. In </w:t>
      </w:r>
      <w:r>
        <w:rPr>
          <w:rFonts w:cs="Times New Roman"/>
          <w:i/>
          <w:iCs/>
          <w:color w:val="222222"/>
          <w:szCs w:val="24"/>
          <w:shd w:val="clear" w:color="auto" w:fill="ffffff"/>
        </w:rPr>
        <w:t>Competing visions: Refereed proceedings of the national social policy conference</w:t>
      </w:r>
      <w:r>
        <w:rPr>
          <w:rFonts w:cs="Times New Roman"/>
          <w:color w:val="222222"/>
          <w:szCs w:val="24"/>
          <w:shd w:val="clear" w:color="auto" w:fill="ffffff"/>
        </w:rPr>
        <w:t> (Vol. 2001, pp. 91-107).</w:t>
      </w:r>
    </w:p>
    <w:p>
      <w:pPr>
        <w:pStyle w:val="style0"/>
        <w:spacing w:lineRule="auto" w:line="240"/>
        <w:ind w:left="720" w:hanging="720"/>
        <w:rPr>
          <w:rFonts w:cs="Times New Roman"/>
          <w:szCs w:val="24"/>
          <w:lang w:val="en-GB"/>
        </w:rPr>
      </w:pPr>
      <w:r>
        <w:rPr>
          <w:rFonts w:cs="Times New Roman"/>
          <w:szCs w:val="24"/>
          <w:lang w:val="en-GB"/>
        </w:rPr>
        <w:t xml:space="preserve">Cooper, D. R., &amp; Schindler, P. S. (2014). </w:t>
      </w:r>
      <w:r>
        <w:rPr>
          <w:rFonts w:cs="Times New Roman"/>
          <w:i/>
          <w:szCs w:val="24"/>
          <w:lang w:val="en-GB"/>
        </w:rPr>
        <w:t>Business Research Methods. Data Preparation and Description</w:t>
      </w:r>
      <w:r>
        <w:rPr>
          <w:rFonts w:cs="Times New Roman"/>
          <w:szCs w:val="24"/>
          <w:lang w:val="en-GB"/>
        </w:rPr>
        <w:t xml:space="preserve">. McGraw-Hill </w:t>
      </w:r>
      <w:r>
        <w:rPr>
          <w:rFonts w:cs="Times New Roman"/>
          <w:szCs w:val="24"/>
          <w:lang w:val="en-GB"/>
        </w:rPr>
        <w:t>Irwi</w:t>
      </w:r>
      <w:r>
        <w:rPr>
          <w:rFonts w:cs="Times New Roman"/>
          <w:szCs w:val="24"/>
          <w:lang w:val="en-GB"/>
        </w:rPr>
        <w:t>. Boston</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Dahie</w:t>
      </w:r>
      <w:r>
        <w:rPr>
          <w:rFonts w:cs="Times New Roman"/>
          <w:szCs w:val="24"/>
          <w:shd w:val="clear" w:color="auto" w:fill="ffffff"/>
        </w:rPr>
        <w:t>, A. M., Mohamed, M. O., &amp; Moalim, A. A. (2021). Socio economic status and academic achievement at secondary schools in Mogadishu-Somalia. </w:t>
      </w:r>
      <w:r>
        <w:rPr>
          <w:rFonts w:cs="Times New Roman"/>
          <w:i/>
          <w:iCs/>
          <w:szCs w:val="24"/>
          <w:shd w:val="clear" w:color="auto" w:fill="ffffff"/>
        </w:rPr>
        <w:t>International Journal in Management &amp; Social Science</w:t>
      </w:r>
      <w:r>
        <w:rPr>
          <w:rFonts w:cs="Times New Roman"/>
          <w:szCs w:val="24"/>
          <w:shd w:val="clear" w:color="auto" w:fill="ffffff"/>
        </w:rPr>
        <w:t>, </w:t>
      </w:r>
      <w:r>
        <w:rPr>
          <w:rFonts w:cs="Times New Roman"/>
          <w:i/>
          <w:iCs/>
          <w:szCs w:val="24"/>
          <w:shd w:val="clear" w:color="auto" w:fill="ffffff"/>
        </w:rPr>
        <w:t>4</w:t>
      </w:r>
      <w:r>
        <w:rPr>
          <w:rFonts w:cs="Times New Roman"/>
          <w:szCs w:val="24"/>
          <w:shd w:val="clear" w:color="auto" w:fill="ffffff"/>
        </w:rPr>
        <w:t>(1), 300-313.</w:t>
      </w:r>
    </w:p>
    <w:p>
      <w:pPr>
        <w:pStyle w:val="style0"/>
        <w:spacing w:lineRule="auto" w:line="240"/>
        <w:ind w:left="720" w:hanging="720"/>
        <w:rPr>
          <w:rFonts w:cs="Times New Roman"/>
          <w:szCs w:val="24"/>
          <w:lang w:val="en-GB"/>
        </w:rPr>
      </w:pPr>
      <w:r>
        <w:rPr>
          <w:rFonts w:cs="Times New Roman"/>
          <w:szCs w:val="24"/>
          <w:lang w:val="en-GB"/>
        </w:rPr>
        <w:t xml:space="preserve">David, T. Y., Mwenda, P., &amp; </w:t>
      </w:r>
      <w:r>
        <w:rPr>
          <w:rFonts w:cs="Times New Roman"/>
          <w:szCs w:val="24"/>
          <w:lang w:val="en-GB"/>
        </w:rPr>
        <w:t>Mathuva</w:t>
      </w:r>
      <w:r>
        <w:rPr>
          <w:rFonts w:cs="Times New Roman"/>
          <w:szCs w:val="24"/>
          <w:lang w:val="en-GB"/>
        </w:rPr>
        <w:t>, E. Influence of Parents Level of Education on Student’s Academic Performance in Public Secondary Schools in Makueni Sub-County.</w:t>
      </w:r>
    </w:p>
    <w:p>
      <w:pPr>
        <w:pStyle w:val="style0"/>
        <w:spacing w:lineRule="auto" w:line="240"/>
        <w:ind w:left="720" w:hanging="720"/>
        <w:rPr>
          <w:rFonts w:cs="Times New Roman"/>
          <w:szCs w:val="24"/>
          <w:lang w:val="en-GB"/>
        </w:rPr>
      </w:pPr>
      <w:r>
        <w:rPr>
          <w:rFonts w:cs="Times New Roman"/>
          <w:szCs w:val="24"/>
          <w:lang w:val="en-GB"/>
        </w:rPr>
        <w:t xml:space="preserve">Effiong, I. E., Ndidi, M. A., &amp; </w:t>
      </w:r>
      <w:r>
        <w:rPr>
          <w:rFonts w:cs="Times New Roman"/>
          <w:szCs w:val="24"/>
          <w:lang w:val="en-GB"/>
        </w:rPr>
        <w:t>Obogo</w:t>
      </w:r>
      <w:r>
        <w:rPr>
          <w:rFonts w:cs="Times New Roman"/>
          <w:szCs w:val="24"/>
          <w:lang w:val="en-GB"/>
        </w:rPr>
        <w:t>, A. I. (2020). Parental Socio-economic Status as Correlates of Students' Motivation in Studying Mathematics in Calabar Education Zone of Cross River State, Nigeria. </w:t>
      </w:r>
      <w:r>
        <w:rPr>
          <w:rFonts w:cs="Times New Roman"/>
          <w:i/>
          <w:iCs/>
          <w:szCs w:val="24"/>
          <w:lang w:val="en-GB"/>
        </w:rPr>
        <w:t>Journal of the Social Sciences</w:t>
      </w:r>
      <w:r>
        <w:rPr>
          <w:rFonts w:cs="Times New Roman"/>
          <w:szCs w:val="24"/>
          <w:lang w:val="en-GB"/>
        </w:rPr>
        <w:t>, </w:t>
      </w:r>
      <w:r>
        <w:rPr>
          <w:rFonts w:cs="Times New Roman"/>
          <w:i/>
          <w:iCs/>
          <w:szCs w:val="24"/>
          <w:lang w:val="en-GB"/>
        </w:rPr>
        <w:t>48</w:t>
      </w:r>
      <w:r>
        <w:rPr>
          <w:rFonts w:cs="Times New Roman"/>
          <w:szCs w:val="24"/>
          <w:lang w:val="en-GB"/>
        </w:rPr>
        <w:t>(3), 1586-1596.</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Egunsola</w:t>
      </w:r>
      <w:r>
        <w:rPr>
          <w:rFonts w:cs="Times New Roman"/>
          <w:color w:val="222222"/>
          <w:szCs w:val="24"/>
          <w:shd w:val="clear" w:color="auto" w:fill="ffffff"/>
        </w:rPr>
        <w:t>, A. O. E., &amp; Isani, E. C. (2020). Influence of Parental Marital Status, Family Type and Size on Academic achievement of Secondary School Students in Agricultural Science in Adamawa State Nigeria. </w:t>
      </w:r>
      <w:r>
        <w:rPr>
          <w:rFonts w:cs="Times New Roman"/>
          <w:i/>
          <w:iCs/>
          <w:color w:val="222222"/>
          <w:szCs w:val="24"/>
          <w:shd w:val="clear" w:color="auto" w:fill="ffffff"/>
        </w:rPr>
        <w:t>Iosr</w:t>
      </w:r>
      <w:r>
        <w:rPr>
          <w:rFonts w:cs="Times New Roman"/>
          <w:i/>
          <w:iCs/>
          <w:color w:val="222222"/>
          <w:szCs w:val="24"/>
          <w:shd w:val="clear" w:color="auto" w:fill="ffffff"/>
        </w:rPr>
        <w:t xml:space="preserve"> Journal of Humanities </w:t>
      </w:r>
      <w:r>
        <w:rPr>
          <w:rFonts w:cs="Times New Roman"/>
          <w:i/>
          <w:iCs/>
          <w:color w:val="222222"/>
          <w:szCs w:val="24"/>
          <w:shd w:val="clear" w:color="auto" w:fill="ffffff"/>
        </w:rPr>
        <w:t>And</w:t>
      </w:r>
      <w:r>
        <w:rPr>
          <w:rFonts w:cs="Times New Roman"/>
          <w:i/>
          <w:iCs/>
          <w:color w:val="222222"/>
          <w:szCs w:val="24"/>
          <w:shd w:val="clear" w:color="auto" w:fill="ffffff"/>
        </w:rPr>
        <w:t xml:space="preserve"> Social Science (</w:t>
      </w:r>
      <w:r>
        <w:rPr>
          <w:rFonts w:cs="Times New Roman"/>
          <w:i/>
          <w:iCs/>
          <w:color w:val="222222"/>
          <w:szCs w:val="24"/>
          <w:shd w:val="clear" w:color="auto" w:fill="ffffff"/>
        </w:rPr>
        <w:t>Iosr-Jhss</w:t>
      </w:r>
      <w:r>
        <w:rPr>
          <w:rFonts w:cs="Times New Roman"/>
          <w:i/>
          <w:iCs/>
          <w:color w:val="222222"/>
          <w:szCs w:val="24"/>
          <w:shd w:val="clear" w:color="auto" w:fill="ffffff"/>
        </w:rPr>
        <w:t>)</w:t>
      </w:r>
      <w:r>
        <w:rPr>
          <w:rFonts w:cs="Times New Roman"/>
          <w:color w:val="222222"/>
          <w:szCs w:val="24"/>
          <w:shd w:val="clear" w:color="auto" w:fill="ffffff"/>
        </w:rPr>
        <w:t>, </w:t>
      </w:r>
      <w:r>
        <w:rPr>
          <w:rFonts w:cs="Times New Roman"/>
          <w:i/>
          <w:iCs/>
          <w:color w:val="222222"/>
          <w:szCs w:val="24"/>
          <w:shd w:val="clear" w:color="auto" w:fill="ffffff"/>
        </w:rPr>
        <w:t>19</w:t>
      </w:r>
      <w:r>
        <w:rPr>
          <w:rFonts w:cs="Times New Roman"/>
          <w:color w:val="222222"/>
          <w:szCs w:val="24"/>
          <w:shd w:val="clear" w:color="auto" w:fill="ffffff"/>
        </w:rPr>
        <w:t>(11), 64-65.</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Ella, R. E., </w:t>
      </w:r>
      <w:r>
        <w:rPr>
          <w:rFonts w:cs="Times New Roman"/>
          <w:color w:val="222222"/>
          <w:szCs w:val="24"/>
          <w:shd w:val="clear" w:color="auto" w:fill="ffffff"/>
        </w:rPr>
        <w:t>Odok</w:t>
      </w:r>
      <w:r>
        <w:rPr>
          <w:rFonts w:cs="Times New Roman"/>
          <w:color w:val="222222"/>
          <w:szCs w:val="24"/>
          <w:shd w:val="clear" w:color="auto" w:fill="ffffff"/>
        </w:rPr>
        <w:t>, A. O., &amp; Ella, G. E. (2021). Influence of family size and family type on academic achievement of students in Government in Calabar Municipality, Cross River State, Nigeria. </w:t>
      </w:r>
      <w:r>
        <w:rPr>
          <w:rFonts w:cs="Times New Roman"/>
          <w:i/>
          <w:iCs/>
          <w:color w:val="222222"/>
          <w:szCs w:val="24"/>
          <w:shd w:val="clear" w:color="auto" w:fill="ffffff"/>
        </w:rPr>
        <w:t>International Journal of Humanities Social Sciences and Education</w:t>
      </w:r>
      <w:r>
        <w:rPr>
          <w:rFonts w:cs="Times New Roman"/>
          <w:color w:val="222222"/>
          <w:szCs w:val="24"/>
          <w:shd w:val="clear" w:color="auto" w:fill="ffffff"/>
        </w:rPr>
        <w:t>, </w:t>
      </w:r>
      <w:r>
        <w:rPr>
          <w:rFonts w:cs="Times New Roman"/>
          <w:i/>
          <w:iCs/>
          <w:color w:val="222222"/>
          <w:szCs w:val="24"/>
          <w:shd w:val="clear" w:color="auto" w:fill="ffffff"/>
        </w:rPr>
        <w:t>2</w:t>
      </w:r>
      <w:r>
        <w:rPr>
          <w:rFonts w:cs="Times New Roman"/>
          <w:color w:val="222222"/>
          <w:szCs w:val="24"/>
          <w:shd w:val="clear" w:color="auto" w:fill="ffffff"/>
        </w:rPr>
        <w:t>(11), 108-114.</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Farooq, M. S., Chaudhry, A. H., Shafiq, M., &amp; Berhanu, G. (2020). Factors affecting students’ quality of academic achievement: a case of secondary school level. </w:t>
      </w:r>
      <w:r>
        <w:rPr>
          <w:rFonts w:cs="Times New Roman"/>
          <w:i/>
          <w:iCs/>
          <w:color w:val="222222"/>
          <w:szCs w:val="24"/>
          <w:shd w:val="clear" w:color="auto" w:fill="ffffff"/>
        </w:rPr>
        <w:t>Journal of quality and technology management</w:t>
      </w:r>
      <w:r>
        <w:rPr>
          <w:rFonts w:cs="Times New Roman"/>
          <w:color w:val="222222"/>
          <w:szCs w:val="24"/>
          <w:shd w:val="clear" w:color="auto" w:fill="ffffff"/>
        </w:rPr>
        <w:t>, </w:t>
      </w:r>
      <w:r>
        <w:rPr>
          <w:rFonts w:cs="Times New Roman"/>
          <w:i/>
          <w:iCs/>
          <w:color w:val="222222"/>
          <w:szCs w:val="24"/>
          <w:shd w:val="clear" w:color="auto" w:fill="ffffff"/>
        </w:rPr>
        <w:t>7</w:t>
      </w:r>
      <w:r>
        <w:rPr>
          <w:rFonts w:cs="Times New Roman"/>
          <w:color w:val="222222"/>
          <w:szCs w:val="24"/>
          <w:shd w:val="clear" w:color="auto" w:fill="ffffff"/>
        </w:rPr>
        <w:t>(2), 1-14.</w:t>
      </w:r>
    </w:p>
    <w:p>
      <w:pPr>
        <w:pStyle w:val="style0"/>
        <w:spacing w:lineRule="auto" w:line="240"/>
        <w:ind w:left="720" w:hanging="720"/>
        <w:rPr>
          <w:rFonts w:cs="Times New Roman"/>
          <w:szCs w:val="24"/>
          <w:lang w:val="en-GB"/>
        </w:rPr>
      </w:pPr>
      <w:r>
        <w:rPr>
          <w:rFonts w:cs="Times New Roman"/>
          <w:szCs w:val="24"/>
          <w:lang w:val="en-GB"/>
        </w:rPr>
        <w:t>Finch, H., &amp; Finch, M. E. H. (2022). The relationship of national, school, and student socioeconomic status with academic achievement: A model for Programme for International Student Assessment Reading and Mathematics scores. In </w:t>
      </w:r>
      <w:r>
        <w:rPr>
          <w:rFonts w:cs="Times New Roman"/>
          <w:i/>
          <w:iCs/>
          <w:szCs w:val="24"/>
          <w:lang w:val="en-GB"/>
        </w:rPr>
        <w:t>Frontiers in Education</w:t>
      </w:r>
      <w:r>
        <w:rPr>
          <w:rFonts w:cs="Times New Roman"/>
          <w:szCs w:val="24"/>
          <w:lang w:val="en-GB"/>
        </w:rPr>
        <w:t> (Vol. 7, p. 857451). Frontiers Media SA</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 xml:space="preserve">Ghaemi, F., &amp; Yazdanpanah, M. (2020). The relationship between socio-economic status and academic achievement in the </w:t>
      </w:r>
      <w:r>
        <w:rPr>
          <w:rFonts w:cs="Times New Roman"/>
          <w:szCs w:val="24"/>
          <w:shd w:val="clear" w:color="auto" w:fill="ffffff"/>
        </w:rPr>
        <w:t>efl</w:t>
      </w:r>
      <w:r>
        <w:rPr>
          <w:rFonts w:cs="Times New Roman"/>
          <w:szCs w:val="24"/>
          <w:shd w:val="clear" w:color="auto" w:fill="ffffff"/>
        </w:rPr>
        <w:t xml:space="preserve"> classroom among </w:t>
      </w:r>
      <w:r>
        <w:rPr>
          <w:rFonts w:cs="Times New Roman"/>
          <w:szCs w:val="24"/>
          <w:shd w:val="clear" w:color="auto" w:fill="ffffff"/>
        </w:rPr>
        <w:t>iranian</w:t>
      </w:r>
      <w:r>
        <w:rPr>
          <w:rFonts w:cs="Times New Roman"/>
          <w:szCs w:val="24"/>
          <w:shd w:val="clear" w:color="auto" w:fill="ffffff"/>
        </w:rPr>
        <w:t xml:space="preserve"> university students. </w:t>
      </w:r>
      <w:r>
        <w:rPr>
          <w:rFonts w:cs="Times New Roman"/>
          <w:i/>
          <w:iCs/>
          <w:szCs w:val="24"/>
          <w:shd w:val="clear" w:color="auto" w:fill="ffffff"/>
        </w:rPr>
        <w:t>European Journal of English Language and Literature Studies</w:t>
      </w:r>
      <w:r>
        <w:rPr>
          <w:rFonts w:cs="Times New Roman"/>
          <w:szCs w:val="24"/>
          <w:shd w:val="clear" w:color="auto" w:fill="ffffff"/>
        </w:rPr>
        <w:t>, </w:t>
      </w:r>
      <w:r>
        <w:rPr>
          <w:rFonts w:cs="Times New Roman"/>
          <w:i/>
          <w:iCs/>
          <w:szCs w:val="24"/>
          <w:shd w:val="clear" w:color="auto" w:fill="ffffff"/>
        </w:rPr>
        <w:t>2</w:t>
      </w:r>
      <w:r>
        <w:rPr>
          <w:rFonts w:cs="Times New Roman"/>
          <w:szCs w:val="24"/>
          <w:shd w:val="clear" w:color="auto" w:fill="ffffff"/>
        </w:rPr>
        <w:t>(1), 49-57.</w:t>
      </w:r>
    </w:p>
    <w:p>
      <w:pPr>
        <w:pStyle w:val="style0"/>
        <w:spacing w:lineRule="auto" w:line="240"/>
        <w:ind w:left="720" w:hanging="720"/>
        <w:rPr>
          <w:rFonts w:cs="Times New Roman"/>
          <w:szCs w:val="24"/>
          <w:lang w:val="en-GB"/>
        </w:rPr>
      </w:pPr>
      <w:r>
        <w:rPr>
          <w:rFonts w:cs="Times New Roman"/>
          <w:szCs w:val="24"/>
          <w:lang w:val="en-GB"/>
        </w:rPr>
        <w:t xml:space="preserve">Gliem, J. A., &amp; Gliem, R. R. (2003). Calculating, interpreting, and reporting </w:t>
      </w:r>
      <w:r>
        <w:rPr>
          <w:rFonts w:cs="Times New Roman"/>
          <w:szCs w:val="24"/>
          <w:lang w:val="en-GB"/>
        </w:rPr>
        <w:t>Cronbach’salpha</w:t>
      </w:r>
      <w:r>
        <w:rPr>
          <w:rFonts w:cs="Times New Roman"/>
          <w:szCs w:val="24"/>
          <w:lang w:val="en-GB"/>
        </w:rPr>
        <w:t xml:space="preserve"> reliability coefficient for Likert-type scales. Midwest Research-to-Practice Conference in Adult, Continuing, and Community Education.</w:t>
      </w:r>
    </w:p>
    <w:p>
      <w:pPr>
        <w:pStyle w:val="style0"/>
        <w:spacing w:lineRule="auto" w:line="240"/>
        <w:ind w:left="720" w:hanging="720"/>
        <w:rPr>
          <w:rFonts w:cs="Times New Roman"/>
          <w:szCs w:val="24"/>
          <w:lang w:val="en-GB"/>
        </w:rPr>
      </w:pPr>
      <w:r>
        <w:rPr>
          <w:rFonts w:cs="Times New Roman"/>
          <w:szCs w:val="24"/>
          <w:lang w:val="en-GB"/>
        </w:rPr>
        <w:t>Golafshani</w:t>
      </w:r>
      <w:r>
        <w:rPr>
          <w:rFonts w:cs="Times New Roman"/>
          <w:szCs w:val="24"/>
          <w:lang w:val="en-GB"/>
        </w:rPr>
        <w:t>, N. (2003). Acceptance of reliability and validity in qualitative research. </w:t>
      </w:r>
      <w:r>
        <w:rPr>
          <w:rFonts w:cs="Times New Roman"/>
          <w:i/>
          <w:iCs/>
          <w:szCs w:val="24"/>
          <w:lang w:val="en-GB"/>
        </w:rPr>
        <w:t>The qualitative report</w:t>
      </w:r>
      <w:r>
        <w:rPr>
          <w:rFonts w:cs="Times New Roman"/>
          <w:szCs w:val="24"/>
          <w:lang w:val="en-GB"/>
        </w:rPr>
        <w:t>, </w:t>
      </w:r>
      <w:r>
        <w:rPr>
          <w:rFonts w:cs="Times New Roman"/>
          <w:i/>
          <w:iCs/>
          <w:szCs w:val="24"/>
          <w:lang w:val="en-GB"/>
        </w:rPr>
        <w:t>8</w:t>
      </w:r>
      <w:r>
        <w:rPr>
          <w:rFonts w:cs="Times New Roman"/>
          <w:szCs w:val="24"/>
          <w:lang w:val="en-GB"/>
        </w:rPr>
        <w:t>(4), 597-606.</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Habibullah, S., &amp; Ashraf, J. (2020). Factors affecting academic achievement of primary school children. </w:t>
      </w:r>
      <w:r>
        <w:rPr>
          <w:rFonts w:cs="Times New Roman"/>
          <w:i/>
          <w:iCs/>
          <w:color w:val="222222"/>
          <w:szCs w:val="24"/>
          <w:shd w:val="clear" w:color="auto" w:fill="ffffff"/>
        </w:rPr>
        <w:t>Pakistan Journal of Medical Research</w:t>
      </w:r>
      <w:r>
        <w:rPr>
          <w:rFonts w:cs="Times New Roman"/>
          <w:color w:val="222222"/>
          <w:szCs w:val="24"/>
          <w:shd w:val="clear" w:color="auto" w:fill="ffffff"/>
        </w:rPr>
        <w:t>, </w:t>
      </w:r>
      <w:r>
        <w:rPr>
          <w:rFonts w:cs="Times New Roman"/>
          <w:i/>
          <w:iCs/>
          <w:color w:val="222222"/>
          <w:szCs w:val="24"/>
          <w:shd w:val="clear" w:color="auto" w:fill="ffffff"/>
        </w:rPr>
        <w:t>52</w:t>
      </w:r>
      <w:r>
        <w:rPr>
          <w:rFonts w:cs="Times New Roman"/>
          <w:color w:val="222222"/>
          <w:szCs w:val="24"/>
          <w:shd w:val="clear" w:color="auto" w:fill="ffffff"/>
        </w:rPr>
        <w:t>(2).</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Kainuwa</w:t>
      </w:r>
      <w:r>
        <w:rPr>
          <w:rFonts w:cs="Times New Roman"/>
          <w:color w:val="222222"/>
          <w:szCs w:val="24"/>
          <w:shd w:val="clear" w:color="auto" w:fill="ffffff"/>
        </w:rPr>
        <w:t>, A., &amp; Yusuf, N. B. M. (2020). Influence of socio-economic and educational background of parents on their children’s education in Nigeria. </w:t>
      </w:r>
      <w:r>
        <w:rPr>
          <w:rFonts w:cs="Times New Roman"/>
          <w:i/>
          <w:iCs/>
          <w:color w:val="222222"/>
          <w:szCs w:val="24"/>
          <w:shd w:val="clear" w:color="auto" w:fill="ffffff"/>
        </w:rPr>
        <w:t>International Journal of Scientific and Research Publications</w:t>
      </w:r>
      <w:r>
        <w:rPr>
          <w:rFonts w:cs="Times New Roman"/>
          <w:color w:val="222222"/>
          <w:szCs w:val="24"/>
          <w:shd w:val="clear" w:color="auto" w:fill="ffffff"/>
        </w:rPr>
        <w:t>, </w:t>
      </w:r>
      <w:r>
        <w:rPr>
          <w:rFonts w:cs="Times New Roman"/>
          <w:i/>
          <w:iCs/>
          <w:color w:val="222222"/>
          <w:szCs w:val="24"/>
          <w:shd w:val="clear" w:color="auto" w:fill="ffffff"/>
        </w:rPr>
        <w:t>3</w:t>
      </w:r>
      <w:r>
        <w:rPr>
          <w:rFonts w:cs="Times New Roman"/>
          <w:color w:val="222222"/>
          <w:szCs w:val="24"/>
          <w:shd w:val="clear" w:color="auto" w:fill="ffffff"/>
        </w:rPr>
        <w:t>(10), 1-8.</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Kakumbi, Z., Samuel, E. B., &amp; </w:t>
      </w:r>
      <w:r>
        <w:rPr>
          <w:rFonts w:cs="Times New Roman"/>
          <w:color w:val="222222"/>
          <w:szCs w:val="24"/>
          <w:shd w:val="clear" w:color="auto" w:fill="ffffff"/>
        </w:rPr>
        <w:t>Mulendema</w:t>
      </w:r>
      <w:r>
        <w:rPr>
          <w:rFonts w:cs="Times New Roman"/>
          <w:color w:val="222222"/>
          <w:szCs w:val="24"/>
          <w:shd w:val="clear" w:color="auto" w:fill="ffffff"/>
        </w:rPr>
        <w:t>, P. J. (2021). Pupil Home Background Characteristics and Academic achievement in Senior Secondary Schools: A Case Study of Selected Secondary Schools in Kitwe District, Zambia. </w:t>
      </w:r>
      <w:r>
        <w:rPr>
          <w:rFonts w:cs="Times New Roman"/>
          <w:i/>
          <w:iCs/>
          <w:color w:val="222222"/>
          <w:szCs w:val="24"/>
          <w:shd w:val="clear" w:color="auto" w:fill="ffffff"/>
        </w:rPr>
        <w:t>Journal of Education and Practice</w:t>
      </w:r>
      <w:r>
        <w:rPr>
          <w:rFonts w:cs="Times New Roman"/>
          <w:color w:val="222222"/>
          <w:szCs w:val="24"/>
          <w:shd w:val="clear" w:color="auto" w:fill="ffffff"/>
        </w:rPr>
        <w:t>, </w:t>
      </w:r>
      <w:r>
        <w:rPr>
          <w:rFonts w:cs="Times New Roman"/>
          <w:i/>
          <w:iCs/>
          <w:color w:val="222222"/>
          <w:szCs w:val="24"/>
          <w:shd w:val="clear" w:color="auto" w:fill="ffffff"/>
        </w:rPr>
        <w:t>7</w:t>
      </w:r>
      <w:r>
        <w:rPr>
          <w:rFonts w:cs="Times New Roman"/>
          <w:color w:val="222222"/>
          <w:szCs w:val="24"/>
          <w:shd w:val="clear" w:color="auto" w:fill="ffffff"/>
        </w:rPr>
        <w:t>(22), 19-25.</w:t>
      </w:r>
    </w:p>
    <w:p>
      <w:pPr>
        <w:pStyle w:val="style0"/>
        <w:spacing w:lineRule="auto" w:line="240"/>
        <w:ind w:left="720" w:hanging="720"/>
        <w:rPr>
          <w:rFonts w:cs="Times New Roman"/>
          <w:szCs w:val="24"/>
          <w:lang w:val="en-GB"/>
        </w:rPr>
      </w:pPr>
      <w:r>
        <w:rPr>
          <w:rFonts w:cs="Times New Roman"/>
          <w:szCs w:val="24"/>
          <w:lang w:val="en-GB"/>
        </w:rPr>
        <w:t xml:space="preserve">Kaptich, P., Kiplangat, H. K., &amp; Munyua, J. (2019). Relationship between parental involvement in pupils’ educational activities at school and their academic performance in </w:t>
      </w:r>
      <w:r>
        <w:rPr>
          <w:rFonts w:cs="Times New Roman"/>
          <w:szCs w:val="24"/>
          <w:lang w:val="en-GB"/>
        </w:rPr>
        <w:t>Ainabkoi</w:t>
      </w:r>
      <w:r>
        <w:rPr>
          <w:rFonts w:cs="Times New Roman"/>
          <w:szCs w:val="24"/>
          <w:lang w:val="en-GB"/>
        </w:rPr>
        <w:t xml:space="preserve"> Sub-County, Kenya. </w:t>
      </w:r>
      <w:r>
        <w:rPr>
          <w:rFonts w:cs="Times New Roman"/>
          <w:i/>
          <w:iCs/>
          <w:szCs w:val="24"/>
          <w:lang w:val="en-GB"/>
        </w:rPr>
        <w:t>IRA-International Journal of Education &amp; Multidisciplinary Studies</w:t>
      </w:r>
      <w:r>
        <w:rPr>
          <w:rFonts w:cs="Times New Roman"/>
          <w:szCs w:val="24"/>
          <w:lang w:val="en-GB"/>
        </w:rPr>
        <w:t>, </w:t>
      </w:r>
      <w:r>
        <w:rPr>
          <w:rFonts w:cs="Times New Roman"/>
          <w:i/>
          <w:iCs/>
          <w:szCs w:val="24"/>
          <w:lang w:val="en-GB"/>
        </w:rPr>
        <w:t>15</w:t>
      </w:r>
      <w:r>
        <w:rPr>
          <w:rFonts w:cs="Times New Roman"/>
          <w:szCs w:val="24"/>
          <w:lang w:val="en-GB"/>
        </w:rPr>
        <w:t>(1), 36-45.</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Kimaro, A. R., &amp; </w:t>
      </w:r>
      <w:r>
        <w:rPr>
          <w:rFonts w:cs="Times New Roman"/>
          <w:color w:val="222222"/>
          <w:szCs w:val="24"/>
          <w:shd w:val="clear" w:color="auto" w:fill="ffffff"/>
        </w:rPr>
        <w:t>Machumu</w:t>
      </w:r>
      <w:r>
        <w:rPr>
          <w:rFonts w:cs="Times New Roman"/>
          <w:color w:val="222222"/>
          <w:szCs w:val="24"/>
          <w:shd w:val="clear" w:color="auto" w:fill="ffffff"/>
        </w:rPr>
        <w:t>, H. J. (2021). Impacts of parental involvement in school activities on academic achievement of primary school children. </w:t>
      </w:r>
      <w:r>
        <w:rPr>
          <w:rFonts w:cs="Times New Roman"/>
          <w:i/>
          <w:iCs/>
          <w:color w:val="222222"/>
          <w:szCs w:val="24"/>
          <w:shd w:val="clear" w:color="auto" w:fill="ffffff"/>
        </w:rPr>
        <w:t>International Journal of Education and Research</w:t>
      </w:r>
      <w:r>
        <w:rPr>
          <w:rFonts w:cs="Times New Roman"/>
          <w:color w:val="222222"/>
          <w:szCs w:val="24"/>
          <w:shd w:val="clear" w:color="auto" w:fill="ffffff"/>
        </w:rPr>
        <w:t>, </w:t>
      </w:r>
      <w:r>
        <w:rPr>
          <w:rFonts w:cs="Times New Roman"/>
          <w:i/>
          <w:iCs/>
          <w:color w:val="222222"/>
          <w:szCs w:val="24"/>
          <w:shd w:val="clear" w:color="auto" w:fill="ffffff"/>
        </w:rPr>
        <w:t>3</w:t>
      </w:r>
      <w:r>
        <w:rPr>
          <w:rFonts w:cs="Times New Roman"/>
          <w:color w:val="222222"/>
          <w:szCs w:val="24"/>
          <w:shd w:val="clear" w:color="auto" w:fill="ffffff"/>
        </w:rPr>
        <w:t>(8), 483-494.</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Kudaisi</w:t>
      </w:r>
      <w:r>
        <w:rPr>
          <w:rFonts w:cs="Times New Roman"/>
          <w:color w:val="222222"/>
          <w:szCs w:val="24"/>
          <w:shd w:val="clear" w:color="auto" w:fill="ffffff"/>
        </w:rPr>
        <w:t xml:space="preserve">, B. V., &amp; Martins, F. F (2020). Effects of Poverty on Children Educational Attainment in Isua, Akoko South East Local Government, Ondo </w:t>
      </w:r>
      <w:r>
        <w:rPr>
          <w:rFonts w:cs="Times New Roman"/>
          <w:color w:val="222222"/>
          <w:szCs w:val="24"/>
          <w:shd w:val="clear" w:color="auto" w:fill="ffffff"/>
        </w:rPr>
        <w:t>State.</w:t>
      </w:r>
      <w:r>
        <w:rPr>
          <w:rFonts w:cs="Times New Roman"/>
          <w:i/>
          <w:szCs w:val="24"/>
        </w:rPr>
        <w:t>Research</w:t>
      </w:r>
      <w:r>
        <w:rPr>
          <w:rFonts w:cs="Times New Roman"/>
          <w:i/>
          <w:szCs w:val="24"/>
        </w:rPr>
        <w:t xml:space="preserve"> on Humanities and Social Sciences</w:t>
      </w:r>
      <w:r>
        <w:rPr>
          <w:rFonts w:cs="Times New Roman"/>
          <w:szCs w:val="24"/>
        </w:rPr>
        <w:t>,4(3),35-44</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Lachaud</w:t>
      </w:r>
      <w:r>
        <w:rPr>
          <w:rFonts w:cs="Times New Roman"/>
          <w:color w:val="222222"/>
          <w:szCs w:val="24"/>
          <w:shd w:val="clear" w:color="auto" w:fill="ffffff"/>
        </w:rPr>
        <w:t xml:space="preserve">, J., LeGrand, T. K., </w:t>
      </w:r>
      <w:r>
        <w:rPr>
          <w:rFonts w:cs="Times New Roman"/>
          <w:color w:val="222222"/>
          <w:szCs w:val="24"/>
          <w:shd w:val="clear" w:color="auto" w:fill="ffffff"/>
        </w:rPr>
        <w:t>Adjiwanou</w:t>
      </w:r>
      <w:r>
        <w:rPr>
          <w:rFonts w:cs="Times New Roman"/>
          <w:color w:val="222222"/>
          <w:szCs w:val="24"/>
          <w:shd w:val="clear" w:color="auto" w:fill="ffffff"/>
        </w:rPr>
        <w:t xml:space="preserve">, V., &amp; </w:t>
      </w:r>
      <w:r>
        <w:rPr>
          <w:rFonts w:cs="Times New Roman"/>
          <w:color w:val="222222"/>
          <w:szCs w:val="24"/>
          <w:shd w:val="clear" w:color="auto" w:fill="ffffff"/>
        </w:rPr>
        <w:t>Kobiané</w:t>
      </w:r>
      <w:r>
        <w:rPr>
          <w:rFonts w:cs="Times New Roman"/>
          <w:color w:val="222222"/>
          <w:szCs w:val="24"/>
          <w:shd w:val="clear" w:color="auto" w:fill="ffffff"/>
        </w:rPr>
        <w:t>, J. F. (2020). Family size and intra-family inequalities in education in Ouagadougou. </w:t>
      </w:r>
      <w:r>
        <w:rPr>
          <w:rFonts w:cs="Times New Roman"/>
          <w:i/>
          <w:iCs/>
          <w:color w:val="222222"/>
          <w:szCs w:val="24"/>
          <w:shd w:val="clear" w:color="auto" w:fill="ffffff"/>
        </w:rPr>
        <w:t>Demographic Research</w:t>
      </w:r>
      <w:r>
        <w:rPr>
          <w:rFonts w:cs="Times New Roman"/>
          <w:color w:val="222222"/>
          <w:szCs w:val="24"/>
          <w:shd w:val="clear" w:color="auto" w:fill="ffffff"/>
        </w:rPr>
        <w:t>, </w:t>
      </w:r>
      <w:r>
        <w:rPr>
          <w:rFonts w:cs="Times New Roman"/>
          <w:i/>
          <w:iCs/>
          <w:color w:val="222222"/>
          <w:szCs w:val="24"/>
          <w:shd w:val="clear" w:color="auto" w:fill="ffffff"/>
        </w:rPr>
        <w:t>31</w:t>
      </w:r>
      <w:r>
        <w:rPr>
          <w:rFonts w:cs="Times New Roman"/>
          <w:color w:val="222222"/>
          <w:szCs w:val="24"/>
          <w:shd w:val="clear" w:color="auto" w:fill="ffffff"/>
        </w:rPr>
        <w:t>, 1455-1476.</w:t>
      </w:r>
    </w:p>
    <w:p>
      <w:pPr>
        <w:pStyle w:val="style0"/>
        <w:spacing w:lineRule="auto" w:line="240"/>
        <w:ind w:left="720" w:hanging="720"/>
        <w:rPr>
          <w:rFonts w:cs="Times New Roman"/>
          <w:szCs w:val="24"/>
          <w:lang w:val="en-GB"/>
        </w:rPr>
      </w:pPr>
      <w:r>
        <w:rPr>
          <w:rFonts w:cs="Times New Roman"/>
          <w:szCs w:val="24"/>
          <w:lang w:val="en-GB"/>
        </w:rPr>
        <w:t>Lim, W. (2021). Impacts of parental involvement and parents’ level of education on student’s academic accomplishment. </w:t>
      </w:r>
      <w:r>
        <w:rPr>
          <w:rFonts w:cs="Times New Roman"/>
          <w:i/>
          <w:iCs/>
          <w:szCs w:val="24"/>
          <w:lang w:val="en-GB"/>
        </w:rPr>
        <w:t>Educ</w:t>
      </w:r>
      <w:r>
        <w:rPr>
          <w:rFonts w:cs="Times New Roman"/>
          <w:i/>
          <w:iCs/>
          <w:szCs w:val="24"/>
          <w:lang w:val="en-GB"/>
        </w:rPr>
        <w:t xml:space="preserve"> J</w:t>
      </w:r>
      <w:r>
        <w:rPr>
          <w:rFonts w:cs="Times New Roman"/>
          <w:szCs w:val="24"/>
          <w:lang w:val="en-GB"/>
        </w:rPr>
        <w:t>, </w:t>
      </w:r>
      <w:r>
        <w:rPr>
          <w:rFonts w:cs="Times New Roman"/>
          <w:i/>
          <w:iCs/>
          <w:szCs w:val="24"/>
          <w:lang w:val="en-GB"/>
        </w:rPr>
        <w:t>10</w:t>
      </w:r>
      <w:r>
        <w:rPr>
          <w:rFonts w:cs="Times New Roman"/>
          <w:szCs w:val="24"/>
          <w:lang w:val="en-GB"/>
        </w:rPr>
        <w:t>(1), 35-39.</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Lin, T., &amp; </w:t>
      </w:r>
      <w:r>
        <w:rPr>
          <w:rFonts w:cs="Times New Roman"/>
          <w:color w:val="222222"/>
          <w:szCs w:val="24"/>
          <w:shd w:val="clear" w:color="auto" w:fill="ffffff"/>
        </w:rPr>
        <w:t>Lv</w:t>
      </w:r>
      <w:r>
        <w:rPr>
          <w:rFonts w:cs="Times New Roman"/>
          <w:color w:val="222222"/>
          <w:szCs w:val="24"/>
          <w:shd w:val="clear" w:color="auto" w:fill="ffffff"/>
        </w:rPr>
        <w:t>, H. (2021). The effects of family income on children’s education: An empirical analysis of CHNS data. In </w:t>
      </w:r>
      <w:r>
        <w:rPr>
          <w:rFonts w:cs="Times New Roman"/>
          <w:i/>
          <w:iCs/>
          <w:color w:val="222222"/>
          <w:szCs w:val="24"/>
          <w:shd w:val="clear" w:color="auto" w:fill="ffffff"/>
        </w:rPr>
        <w:t>Proceeding on the 4th International Conference on Information Technology and Career Education Asian Academic Press-pp</w:t>
      </w:r>
      <w:r>
        <w:rPr>
          <w:rFonts w:cs="Times New Roman"/>
          <w:color w:val="222222"/>
          <w:szCs w:val="24"/>
          <w:shd w:val="clear" w:color="auto" w:fill="ffffff"/>
        </w:rPr>
        <w:t> (pp. 49-54).</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Machebe</w:t>
      </w:r>
      <w:r>
        <w:rPr>
          <w:rFonts w:cs="Times New Roman"/>
          <w:color w:val="222222"/>
          <w:szCs w:val="24"/>
          <w:shd w:val="clear" w:color="auto" w:fill="ffffff"/>
        </w:rPr>
        <w:t xml:space="preserve">, C. H., </w:t>
      </w:r>
      <w:r>
        <w:rPr>
          <w:rFonts w:cs="Times New Roman"/>
          <w:color w:val="222222"/>
          <w:szCs w:val="24"/>
          <w:shd w:val="clear" w:color="auto" w:fill="ffffff"/>
        </w:rPr>
        <w:t>Ezegbe</w:t>
      </w:r>
      <w:r>
        <w:rPr>
          <w:rFonts w:cs="Times New Roman"/>
          <w:color w:val="222222"/>
          <w:szCs w:val="24"/>
          <w:shd w:val="clear" w:color="auto" w:fill="ffffff"/>
        </w:rPr>
        <w:t>, B. N., &amp; Onuoha, J. (2021). The Impact of Parental Level of Income on Students' Academic achievement in High School in Japan. </w:t>
      </w:r>
      <w:r>
        <w:rPr>
          <w:rFonts w:cs="Times New Roman"/>
          <w:i/>
          <w:iCs/>
          <w:color w:val="222222"/>
          <w:szCs w:val="24"/>
          <w:shd w:val="clear" w:color="auto" w:fill="ffffff"/>
        </w:rPr>
        <w:t>Universal Journal of Educational Research</w:t>
      </w:r>
      <w:r>
        <w:rPr>
          <w:rFonts w:cs="Times New Roman"/>
          <w:color w:val="222222"/>
          <w:szCs w:val="24"/>
          <w:shd w:val="clear" w:color="auto" w:fill="ffffff"/>
        </w:rPr>
        <w:t>, </w:t>
      </w:r>
      <w:r>
        <w:rPr>
          <w:rFonts w:cs="Times New Roman"/>
          <w:i/>
          <w:iCs/>
          <w:color w:val="222222"/>
          <w:szCs w:val="24"/>
          <w:shd w:val="clear" w:color="auto" w:fill="ffffff"/>
        </w:rPr>
        <w:t>5</w:t>
      </w:r>
      <w:r>
        <w:rPr>
          <w:rFonts w:cs="Times New Roman"/>
          <w:color w:val="222222"/>
          <w:szCs w:val="24"/>
          <w:shd w:val="clear" w:color="auto" w:fill="ffffff"/>
        </w:rPr>
        <w:t>(9), 1614-1620.</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Machebe</w:t>
      </w:r>
      <w:r>
        <w:rPr>
          <w:rFonts w:cs="Times New Roman"/>
          <w:color w:val="222222"/>
          <w:szCs w:val="24"/>
          <w:shd w:val="clear" w:color="auto" w:fill="ffffff"/>
        </w:rPr>
        <w:t xml:space="preserve">, C. H., </w:t>
      </w:r>
      <w:r>
        <w:rPr>
          <w:rFonts w:cs="Times New Roman"/>
          <w:color w:val="222222"/>
          <w:szCs w:val="24"/>
          <w:shd w:val="clear" w:color="auto" w:fill="ffffff"/>
        </w:rPr>
        <w:t>Ezegbe</w:t>
      </w:r>
      <w:r>
        <w:rPr>
          <w:rFonts w:cs="Times New Roman"/>
          <w:color w:val="222222"/>
          <w:szCs w:val="24"/>
          <w:shd w:val="clear" w:color="auto" w:fill="ffffff"/>
        </w:rPr>
        <w:t>, B. N., &amp; Onuoha, J. (2021). The Impact of Parental Level of Income on Students' Academic achievement in High School in Japan. </w:t>
      </w:r>
      <w:r>
        <w:rPr>
          <w:rFonts w:cs="Times New Roman"/>
          <w:i/>
          <w:iCs/>
          <w:color w:val="222222"/>
          <w:szCs w:val="24"/>
          <w:shd w:val="clear" w:color="auto" w:fill="ffffff"/>
        </w:rPr>
        <w:t>Universal Journal of Educational Research</w:t>
      </w:r>
      <w:r>
        <w:rPr>
          <w:rFonts w:cs="Times New Roman"/>
          <w:color w:val="222222"/>
          <w:szCs w:val="24"/>
          <w:shd w:val="clear" w:color="auto" w:fill="ffffff"/>
        </w:rPr>
        <w:t>, </w:t>
      </w:r>
      <w:r>
        <w:rPr>
          <w:rFonts w:cs="Times New Roman"/>
          <w:i/>
          <w:iCs/>
          <w:color w:val="222222"/>
          <w:szCs w:val="24"/>
          <w:shd w:val="clear" w:color="auto" w:fill="ffffff"/>
        </w:rPr>
        <w:t>5</w:t>
      </w:r>
      <w:r>
        <w:rPr>
          <w:rFonts w:cs="Times New Roman"/>
          <w:color w:val="222222"/>
          <w:szCs w:val="24"/>
          <w:shd w:val="clear" w:color="auto" w:fill="ffffff"/>
        </w:rPr>
        <w:t>(9), 1614-1620.</w:t>
      </w:r>
    </w:p>
    <w:p>
      <w:pPr>
        <w:pStyle w:val="style0"/>
        <w:spacing w:lineRule="auto" w:line="240"/>
        <w:ind w:left="720" w:hanging="720"/>
        <w:rPr>
          <w:rFonts w:cs="Times New Roman"/>
          <w:szCs w:val="24"/>
          <w:lang w:val="en-GB"/>
        </w:rPr>
      </w:pPr>
      <w:r>
        <w:rPr>
          <w:rFonts w:cs="Times New Roman"/>
          <w:szCs w:val="24"/>
          <w:lang w:val="en-GB"/>
        </w:rPr>
        <w:t>Maurine, C., Newton, A., &amp; Ann, M. (2022). Influence of Family Type on Academic Performance of Secondary School Students in Public Secondary Schools in Narok South Sub County, Narok County Kenya. </w:t>
      </w:r>
      <w:r>
        <w:rPr>
          <w:rFonts w:cs="Times New Roman"/>
          <w:i/>
          <w:iCs/>
          <w:szCs w:val="24"/>
          <w:lang w:val="en-GB"/>
        </w:rPr>
        <w:t>Asian Journal of Education and Social Studies</w:t>
      </w:r>
      <w:r>
        <w:rPr>
          <w:rFonts w:cs="Times New Roman"/>
          <w:szCs w:val="24"/>
          <w:lang w:val="en-GB"/>
        </w:rPr>
        <w:t>, </w:t>
      </w:r>
      <w:r>
        <w:rPr>
          <w:rFonts w:cs="Times New Roman"/>
          <w:i/>
          <w:iCs/>
          <w:szCs w:val="24"/>
          <w:lang w:val="en-GB"/>
        </w:rPr>
        <w:t>31</w:t>
      </w:r>
      <w:r>
        <w:rPr>
          <w:rFonts w:cs="Times New Roman"/>
          <w:szCs w:val="24"/>
          <w:lang w:val="en-GB"/>
        </w:rPr>
        <w:t>(3), 27-35.</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Memon, G. R., </w:t>
      </w:r>
      <w:r>
        <w:rPr>
          <w:rFonts w:cs="Times New Roman"/>
          <w:color w:val="222222"/>
          <w:szCs w:val="24"/>
          <w:shd w:val="clear" w:color="auto" w:fill="ffffff"/>
        </w:rPr>
        <w:t>Joubish</w:t>
      </w:r>
      <w:r>
        <w:rPr>
          <w:rFonts w:cs="Times New Roman"/>
          <w:color w:val="222222"/>
          <w:szCs w:val="24"/>
          <w:shd w:val="clear" w:color="auto" w:fill="ffffff"/>
        </w:rPr>
        <w:t>, F. M., &amp; Khurram, A. M. (2020). Impact of parental socio-economic status on students’ educational achievements at secondary schools of district Malir, Karachi. </w:t>
      </w:r>
      <w:r>
        <w:rPr>
          <w:rFonts w:cs="Times New Roman"/>
          <w:i/>
          <w:iCs/>
          <w:color w:val="222222"/>
          <w:szCs w:val="24"/>
          <w:shd w:val="clear" w:color="auto" w:fill="ffffff"/>
        </w:rPr>
        <w:t>Middle-East Journal of Scientific Research</w:t>
      </w:r>
      <w:r>
        <w:rPr>
          <w:rFonts w:cs="Times New Roman"/>
          <w:color w:val="222222"/>
          <w:szCs w:val="24"/>
          <w:shd w:val="clear" w:color="auto" w:fill="ffffff"/>
        </w:rPr>
        <w:t>, </w:t>
      </w:r>
      <w:r>
        <w:rPr>
          <w:rFonts w:cs="Times New Roman"/>
          <w:i/>
          <w:iCs/>
          <w:color w:val="222222"/>
          <w:szCs w:val="24"/>
          <w:shd w:val="clear" w:color="auto" w:fill="ffffff"/>
        </w:rPr>
        <w:t>6</w:t>
      </w:r>
      <w:r>
        <w:rPr>
          <w:rFonts w:cs="Times New Roman"/>
          <w:color w:val="222222"/>
          <w:szCs w:val="24"/>
          <w:shd w:val="clear" w:color="auto" w:fill="ffffff"/>
        </w:rPr>
        <w:t>(6), 678-687.</w:t>
      </w:r>
    </w:p>
    <w:p>
      <w:pPr>
        <w:pStyle w:val="style0"/>
        <w:spacing w:lineRule="auto" w:line="240"/>
        <w:ind w:left="720" w:hanging="720"/>
        <w:rPr>
          <w:rFonts w:cs="Times New Roman"/>
          <w:szCs w:val="24"/>
          <w:lang w:val="en-GB"/>
        </w:rPr>
      </w:pPr>
      <w:r>
        <w:rPr>
          <w:rFonts w:cs="Times New Roman"/>
          <w:szCs w:val="24"/>
          <w:lang w:val="en-GB"/>
        </w:rPr>
        <w:t>Muchunku</w:t>
      </w:r>
      <w:r>
        <w:rPr>
          <w:rFonts w:cs="Times New Roman"/>
          <w:szCs w:val="24"/>
          <w:lang w:val="en-GB"/>
        </w:rPr>
        <w:t>, J. (2020). </w:t>
      </w:r>
      <w:r>
        <w:rPr>
          <w:rFonts w:cs="Times New Roman"/>
          <w:i/>
          <w:iCs/>
          <w:szCs w:val="24"/>
          <w:lang w:val="en-GB"/>
        </w:rPr>
        <w:t xml:space="preserve">Influence of selected social-economic factors on retention and academic achievement among pupils in public day primary schools in </w:t>
      </w:r>
      <w:r>
        <w:rPr>
          <w:rFonts w:cs="Times New Roman"/>
          <w:i/>
          <w:iCs/>
          <w:szCs w:val="24"/>
          <w:lang w:val="en-GB"/>
        </w:rPr>
        <w:t>Isiolo</w:t>
      </w:r>
      <w:r>
        <w:rPr>
          <w:rFonts w:cs="Times New Roman"/>
          <w:i/>
          <w:iCs/>
          <w:szCs w:val="24"/>
          <w:lang w:val="en-GB"/>
        </w:rPr>
        <w:t xml:space="preserve"> county, Kenya</w:t>
      </w:r>
      <w:r>
        <w:rPr>
          <w:rFonts w:cs="Times New Roman"/>
          <w:szCs w:val="24"/>
          <w:lang w:val="en-GB"/>
        </w:rPr>
        <w:t> (Doctoral dissertation, Chuka University).</w:t>
      </w:r>
    </w:p>
    <w:p>
      <w:pPr>
        <w:pStyle w:val="style0"/>
        <w:spacing w:lineRule="auto" w:line="240"/>
        <w:ind w:left="720" w:hanging="720"/>
        <w:rPr>
          <w:rFonts w:cs="Times New Roman"/>
          <w:szCs w:val="24"/>
          <w:lang w:val="en-GB"/>
        </w:rPr>
      </w:pPr>
      <w:r>
        <w:rPr>
          <w:rFonts w:cs="Times New Roman"/>
          <w:szCs w:val="24"/>
          <w:lang w:val="en-GB"/>
        </w:rPr>
        <w:t>Murong’a</w:t>
      </w:r>
      <w:r>
        <w:rPr>
          <w:rFonts w:cs="Times New Roman"/>
          <w:szCs w:val="24"/>
          <w:lang w:val="en-GB"/>
        </w:rPr>
        <w:t xml:space="preserve">, H., </w:t>
      </w:r>
      <w:r>
        <w:rPr>
          <w:rFonts w:cs="Times New Roman"/>
          <w:szCs w:val="24"/>
          <w:lang w:val="en-GB"/>
        </w:rPr>
        <w:t>Mwoma</w:t>
      </w:r>
      <w:r>
        <w:rPr>
          <w:rFonts w:cs="Times New Roman"/>
          <w:szCs w:val="24"/>
          <w:lang w:val="en-GB"/>
        </w:rPr>
        <w:t xml:space="preserve">, T., &amp; Ouko, H. (2020). Teenage </w:t>
      </w:r>
      <w:r>
        <w:rPr>
          <w:rFonts w:cs="Times New Roman"/>
          <w:szCs w:val="24"/>
          <w:lang w:val="en-GB"/>
        </w:rPr>
        <w:t>Mothers’involvement</w:t>
      </w:r>
      <w:r>
        <w:rPr>
          <w:rFonts w:cs="Times New Roman"/>
          <w:szCs w:val="24"/>
          <w:lang w:val="en-GB"/>
        </w:rPr>
        <w:t xml:space="preserve"> </w:t>
      </w:r>
      <w:r>
        <w:rPr>
          <w:rFonts w:cs="Times New Roman"/>
          <w:szCs w:val="24"/>
          <w:lang w:val="en-GB"/>
        </w:rPr>
        <w:t>In</w:t>
      </w:r>
      <w:r>
        <w:rPr>
          <w:rFonts w:cs="Times New Roman"/>
          <w:szCs w:val="24"/>
          <w:lang w:val="en-GB"/>
        </w:rPr>
        <w:t xml:space="preserve"> Their Children’s Acquisition Of Pre-Literacy Skills: A Case Of Kilifi County, Kenya. </w:t>
      </w:r>
      <w:r>
        <w:rPr>
          <w:rFonts w:cs="Times New Roman"/>
          <w:i/>
          <w:iCs/>
          <w:szCs w:val="24"/>
          <w:lang w:val="en-GB"/>
        </w:rPr>
        <w:t>European Journal of Education Studies</w:t>
      </w:r>
      <w:r>
        <w:rPr>
          <w:rFonts w:cs="Times New Roman"/>
          <w:szCs w:val="24"/>
          <w:lang w:val="en-GB"/>
        </w:rPr>
        <w:t>.</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Mweti</w:t>
      </w:r>
      <w:r>
        <w:rPr>
          <w:rFonts w:cs="Times New Roman"/>
          <w:szCs w:val="24"/>
          <w:shd w:val="clear" w:color="auto" w:fill="ffffff"/>
        </w:rPr>
        <w:t>, J. M. (2020). </w:t>
      </w:r>
      <w:r>
        <w:rPr>
          <w:rFonts w:cs="Times New Roman"/>
          <w:i/>
          <w:iCs/>
          <w:szCs w:val="24"/>
          <w:shd w:val="clear" w:color="auto" w:fill="ffffff"/>
        </w:rPr>
        <w:t xml:space="preserve">Socio-economic factors influencing student’s academic achievement in public secondary schools in </w:t>
      </w:r>
      <w:r>
        <w:rPr>
          <w:rFonts w:cs="Times New Roman"/>
          <w:i/>
          <w:iCs/>
          <w:szCs w:val="24"/>
          <w:shd w:val="clear" w:color="auto" w:fill="ffffff"/>
        </w:rPr>
        <w:t>Igembe</w:t>
      </w:r>
      <w:r>
        <w:rPr>
          <w:rFonts w:cs="Times New Roman"/>
          <w:i/>
          <w:iCs/>
          <w:szCs w:val="24"/>
          <w:shd w:val="clear" w:color="auto" w:fill="ffffff"/>
        </w:rPr>
        <w:t xml:space="preserve"> South District, Kenya</w:t>
      </w:r>
      <w:r>
        <w:rPr>
          <w:rFonts w:cs="Times New Roman"/>
          <w:szCs w:val="24"/>
          <w:shd w:val="clear" w:color="auto" w:fill="ffffff"/>
        </w:rPr>
        <w:t> (Doctoral dissertation, University of Nairobi).</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Nadenge</w:t>
      </w:r>
      <w:r>
        <w:rPr>
          <w:rFonts w:cs="Times New Roman"/>
          <w:szCs w:val="24"/>
          <w:shd w:val="clear" w:color="auto" w:fill="ffffff"/>
        </w:rPr>
        <w:t>, G. M. (2021). </w:t>
      </w:r>
      <w:r>
        <w:rPr>
          <w:rFonts w:cs="Times New Roman"/>
          <w:i/>
          <w:iCs/>
          <w:szCs w:val="24"/>
          <w:shd w:val="clear" w:color="auto" w:fill="ffffff"/>
        </w:rPr>
        <w:t xml:space="preserve">Relationship Between Parental Socio-Economic Status </w:t>
      </w:r>
      <w:r>
        <w:rPr>
          <w:rFonts w:cs="Times New Roman"/>
          <w:i/>
          <w:iCs/>
          <w:szCs w:val="24"/>
          <w:shd w:val="clear" w:color="auto" w:fill="ffffff"/>
        </w:rPr>
        <w:t>And</w:t>
      </w:r>
      <w:r>
        <w:rPr>
          <w:rFonts w:cs="Times New Roman"/>
          <w:i/>
          <w:iCs/>
          <w:szCs w:val="24"/>
          <w:shd w:val="clear" w:color="auto" w:fill="ffffff"/>
        </w:rPr>
        <w:t xml:space="preserve"> Student Academic Achievement: The Case Of Selected Secondary Schools In Urban Informal Settlements In </w:t>
      </w:r>
      <w:r>
        <w:rPr>
          <w:rFonts w:cs="Times New Roman"/>
          <w:i/>
          <w:iCs/>
          <w:szCs w:val="24"/>
          <w:shd w:val="clear" w:color="auto" w:fill="ffffff"/>
        </w:rPr>
        <w:t>Westlands</w:t>
      </w:r>
      <w:r>
        <w:rPr>
          <w:rFonts w:cs="Times New Roman"/>
          <w:i/>
          <w:iCs/>
          <w:szCs w:val="24"/>
          <w:shd w:val="clear" w:color="auto" w:fill="ffffff"/>
        </w:rPr>
        <w:t xml:space="preserve"> Division, Nairobi County</w:t>
      </w:r>
      <w:r>
        <w:rPr>
          <w:rFonts w:cs="Times New Roman"/>
          <w:szCs w:val="24"/>
          <w:shd w:val="clear" w:color="auto" w:fill="ffffff"/>
        </w:rPr>
        <w:t> (Doctoral Dissertation, University Of Nairobi).</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 xml:space="preserve">Ngugi, M., </w:t>
      </w:r>
      <w:r>
        <w:rPr>
          <w:rFonts w:cs="Times New Roman"/>
          <w:szCs w:val="24"/>
          <w:shd w:val="clear" w:color="auto" w:fill="ffffff"/>
        </w:rPr>
        <w:t>Mumiukha</w:t>
      </w:r>
      <w:r>
        <w:rPr>
          <w:rFonts w:cs="Times New Roman"/>
          <w:szCs w:val="24"/>
          <w:shd w:val="clear" w:color="auto" w:fill="ffffff"/>
        </w:rPr>
        <w:t xml:space="preserve">, C., </w:t>
      </w:r>
      <w:r>
        <w:rPr>
          <w:rFonts w:cs="Times New Roman"/>
          <w:szCs w:val="24"/>
          <w:shd w:val="clear" w:color="auto" w:fill="ffffff"/>
        </w:rPr>
        <w:t>Fedha</w:t>
      </w:r>
      <w:r>
        <w:rPr>
          <w:rFonts w:cs="Times New Roman"/>
          <w:szCs w:val="24"/>
          <w:shd w:val="clear" w:color="auto" w:fill="ffffff"/>
        </w:rPr>
        <w:t xml:space="preserve">, F., &amp; </w:t>
      </w:r>
      <w:r>
        <w:rPr>
          <w:rFonts w:cs="Times New Roman"/>
          <w:szCs w:val="24"/>
          <w:shd w:val="clear" w:color="auto" w:fill="ffffff"/>
        </w:rPr>
        <w:t>Ndiga</w:t>
      </w:r>
      <w:r>
        <w:rPr>
          <w:rFonts w:cs="Times New Roman"/>
          <w:szCs w:val="24"/>
          <w:shd w:val="clear" w:color="auto" w:fill="ffffff"/>
        </w:rPr>
        <w:t>, B. (2021). Universal Primary Education in Kenya: Advancement and Challenges. </w:t>
      </w:r>
      <w:r>
        <w:rPr>
          <w:rFonts w:cs="Times New Roman"/>
          <w:i/>
          <w:iCs/>
          <w:szCs w:val="24"/>
          <w:shd w:val="clear" w:color="auto" w:fill="ffffff"/>
        </w:rPr>
        <w:t>Journal of Education and Practice</w:t>
      </w:r>
      <w:r>
        <w:rPr>
          <w:rFonts w:cs="Times New Roman"/>
          <w:szCs w:val="24"/>
          <w:shd w:val="clear" w:color="auto" w:fill="ffffff"/>
        </w:rPr>
        <w:t>, </w:t>
      </w:r>
      <w:r>
        <w:rPr>
          <w:rFonts w:cs="Times New Roman"/>
          <w:i/>
          <w:iCs/>
          <w:szCs w:val="24"/>
          <w:shd w:val="clear" w:color="auto" w:fill="ffffff"/>
        </w:rPr>
        <w:t>6</w:t>
      </w:r>
      <w:r>
        <w:rPr>
          <w:rFonts w:cs="Times New Roman"/>
          <w:szCs w:val="24"/>
          <w:shd w:val="clear" w:color="auto" w:fill="ffffff"/>
        </w:rPr>
        <w:t>(14), 87-95.</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Njuguna, N. R. (2020). </w:t>
      </w:r>
      <w:r>
        <w:rPr>
          <w:rFonts w:cs="Times New Roman"/>
          <w:i/>
          <w:iCs/>
          <w:szCs w:val="24"/>
          <w:shd w:val="clear" w:color="auto" w:fill="ffffff"/>
        </w:rPr>
        <w:t xml:space="preserve">Factors influencing academic achievement of public primary schools in </w:t>
      </w:r>
      <w:r>
        <w:rPr>
          <w:rFonts w:cs="Times New Roman"/>
          <w:i/>
          <w:iCs/>
          <w:szCs w:val="24"/>
          <w:shd w:val="clear" w:color="auto" w:fill="ffffff"/>
        </w:rPr>
        <w:t>Makuyu</w:t>
      </w:r>
      <w:r>
        <w:rPr>
          <w:rFonts w:cs="Times New Roman"/>
          <w:i/>
          <w:iCs/>
          <w:szCs w:val="24"/>
          <w:shd w:val="clear" w:color="auto" w:fill="ffffff"/>
        </w:rPr>
        <w:t xml:space="preserve"> Division, </w:t>
      </w:r>
      <w:r>
        <w:rPr>
          <w:rFonts w:cs="Times New Roman"/>
          <w:i/>
          <w:iCs/>
          <w:szCs w:val="24"/>
          <w:shd w:val="clear" w:color="auto" w:fill="ffffff"/>
        </w:rPr>
        <w:t>Murang'a</w:t>
      </w:r>
      <w:r>
        <w:rPr>
          <w:rFonts w:cs="Times New Roman"/>
          <w:i/>
          <w:iCs/>
          <w:szCs w:val="24"/>
          <w:shd w:val="clear" w:color="auto" w:fill="ffffff"/>
        </w:rPr>
        <w:t xml:space="preserve"> South District, Kenya</w:t>
      </w:r>
      <w:r>
        <w:rPr>
          <w:rFonts w:cs="Times New Roman"/>
          <w:szCs w:val="24"/>
          <w:shd w:val="clear" w:color="auto" w:fill="ffffff"/>
        </w:rPr>
        <w:t> (Doctoral dissertation).</w:t>
      </w:r>
    </w:p>
    <w:p>
      <w:pPr>
        <w:pStyle w:val="style0"/>
        <w:spacing w:lineRule="auto" w:line="240"/>
        <w:ind w:left="720" w:hanging="720"/>
        <w:rPr>
          <w:rFonts w:cs="Times New Roman"/>
          <w:szCs w:val="24"/>
          <w:lang w:val="en-GB"/>
        </w:rPr>
      </w:pPr>
      <w:r>
        <w:rPr>
          <w:rFonts w:cs="Times New Roman"/>
          <w:szCs w:val="24"/>
          <w:lang w:val="en-GB"/>
        </w:rPr>
        <w:t xml:space="preserve">Nwadike, A. N., &amp; </w:t>
      </w:r>
      <w:r>
        <w:rPr>
          <w:rFonts w:cs="Times New Roman"/>
          <w:szCs w:val="24"/>
          <w:lang w:val="en-GB"/>
        </w:rPr>
        <w:t>Pelemo</w:t>
      </w:r>
      <w:r>
        <w:rPr>
          <w:rFonts w:cs="Times New Roman"/>
          <w:szCs w:val="24"/>
          <w:lang w:val="en-GB"/>
        </w:rPr>
        <w:t xml:space="preserve">, E. A. (2020). Families’ socio-Economic Status </w:t>
      </w:r>
      <w:r>
        <w:rPr>
          <w:rFonts w:cs="Times New Roman"/>
          <w:szCs w:val="24"/>
          <w:lang w:val="en-GB"/>
        </w:rPr>
        <w:t>As</w:t>
      </w:r>
      <w:r>
        <w:rPr>
          <w:rFonts w:cs="Times New Roman"/>
          <w:szCs w:val="24"/>
          <w:lang w:val="en-GB"/>
        </w:rPr>
        <w:t xml:space="preserve"> Predictor Of Students ‘academic Performance Among Junior Secondary Schools In Owerri Education Zone 1, Imo State. </w:t>
      </w:r>
      <w:r>
        <w:rPr>
          <w:rFonts w:cs="Times New Roman"/>
          <w:i/>
          <w:iCs/>
          <w:szCs w:val="24"/>
          <w:lang w:val="en-GB"/>
        </w:rPr>
        <w:t>Journal of the Nigerian Council of Educational Psychologists</w:t>
      </w:r>
      <w:r>
        <w:rPr>
          <w:rFonts w:cs="Times New Roman"/>
          <w:szCs w:val="24"/>
          <w:lang w:val="en-GB"/>
        </w:rPr>
        <w:t>, </w:t>
      </w:r>
      <w:r>
        <w:rPr>
          <w:rFonts w:cs="Times New Roman"/>
          <w:i/>
          <w:iCs/>
          <w:szCs w:val="24"/>
          <w:lang w:val="en-GB"/>
        </w:rPr>
        <w:t>13</w:t>
      </w:r>
      <w:r>
        <w:rPr>
          <w:rFonts w:cs="Times New Roman"/>
          <w:szCs w:val="24"/>
          <w:lang w:val="en-GB"/>
        </w:rPr>
        <w:t>(1).</w:t>
      </w:r>
    </w:p>
    <w:p>
      <w:pPr>
        <w:pStyle w:val="style0"/>
        <w:spacing w:lineRule="auto" w:line="240"/>
        <w:ind w:left="720" w:hanging="720"/>
        <w:rPr>
          <w:rFonts w:cs="Times New Roman"/>
          <w:szCs w:val="24"/>
        </w:rPr>
      </w:pPr>
      <w:r>
        <w:rPr>
          <w:rFonts w:cs="Times New Roman"/>
          <w:szCs w:val="24"/>
        </w:rPr>
        <w:t>Ogbugo</w:t>
      </w:r>
      <w:r>
        <w:rPr>
          <w:rFonts w:cs="Times New Roman"/>
          <w:szCs w:val="24"/>
        </w:rPr>
        <w:t xml:space="preserve">-Ololube, R. (2021) conducted a study on Impact of Students’ Parental Background on Academic Achievement in Secondary Schools in </w:t>
      </w:r>
      <w:r>
        <w:rPr>
          <w:rFonts w:cs="Times New Roman"/>
          <w:szCs w:val="24"/>
        </w:rPr>
        <w:t>Obio</w:t>
      </w:r>
      <w:r>
        <w:rPr>
          <w:rFonts w:cs="Times New Roman"/>
          <w:szCs w:val="24"/>
        </w:rPr>
        <w:t>/</w:t>
      </w:r>
      <w:r>
        <w:rPr>
          <w:rFonts w:cs="Times New Roman"/>
          <w:szCs w:val="24"/>
        </w:rPr>
        <w:t>Akpor</w:t>
      </w:r>
      <w:r>
        <w:rPr>
          <w:rFonts w:cs="Times New Roman"/>
          <w:szCs w:val="24"/>
        </w:rPr>
        <w:t xml:space="preserve"> LGA, Rivers State, Nigeria.</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Ogunsola, O. K., </w:t>
      </w:r>
      <w:r>
        <w:rPr>
          <w:rFonts w:cs="Times New Roman"/>
          <w:color w:val="222222"/>
          <w:szCs w:val="24"/>
          <w:shd w:val="clear" w:color="auto" w:fill="ffffff"/>
        </w:rPr>
        <w:t>Osuolale</w:t>
      </w:r>
      <w:r>
        <w:rPr>
          <w:rFonts w:cs="Times New Roman"/>
          <w:color w:val="222222"/>
          <w:szCs w:val="24"/>
          <w:shd w:val="clear" w:color="auto" w:fill="ffffff"/>
        </w:rPr>
        <w:t>, K. A., &amp; Ojo, A. O. (2020). Parental and related factors affecting students’ academic achievement in Oyo State, Nigeria. </w:t>
      </w:r>
      <w:r>
        <w:rPr>
          <w:rFonts w:cs="Times New Roman"/>
          <w:i/>
          <w:iCs/>
          <w:color w:val="222222"/>
          <w:szCs w:val="24"/>
          <w:shd w:val="clear" w:color="auto" w:fill="ffffff"/>
        </w:rPr>
        <w:t>International Journal of Social, Behavioral, Educational, Economic, Business and Industrial Engineering</w:t>
      </w:r>
      <w:r>
        <w:rPr>
          <w:rFonts w:cs="Times New Roman"/>
          <w:color w:val="222222"/>
          <w:szCs w:val="24"/>
          <w:shd w:val="clear" w:color="auto" w:fill="ffffff"/>
        </w:rPr>
        <w:t>, </w:t>
      </w:r>
      <w:r>
        <w:rPr>
          <w:rFonts w:cs="Times New Roman"/>
          <w:i/>
          <w:iCs/>
          <w:color w:val="222222"/>
          <w:szCs w:val="24"/>
          <w:shd w:val="clear" w:color="auto" w:fill="ffffff"/>
        </w:rPr>
        <w:t>8</w:t>
      </w:r>
      <w:r>
        <w:rPr>
          <w:rFonts w:cs="Times New Roman"/>
          <w:color w:val="222222"/>
          <w:szCs w:val="24"/>
          <w:shd w:val="clear" w:color="auto" w:fill="ffffff"/>
        </w:rPr>
        <w:t>(9), 3129-3136.</w:t>
      </w:r>
    </w:p>
    <w:p>
      <w:pPr>
        <w:pStyle w:val="style0"/>
        <w:spacing w:lineRule="auto" w:line="240"/>
        <w:ind w:left="720" w:hanging="720"/>
        <w:rPr>
          <w:rFonts w:cs="Times New Roman"/>
          <w:szCs w:val="24"/>
        </w:rPr>
      </w:pPr>
      <w:r>
        <w:rPr>
          <w:rFonts w:cs="Times New Roman"/>
          <w:szCs w:val="24"/>
        </w:rPr>
        <w:t xml:space="preserve">Ogweno, P. </w:t>
      </w:r>
      <w:r>
        <w:rPr>
          <w:rFonts w:cs="Times New Roman"/>
          <w:szCs w:val="24"/>
        </w:rPr>
        <w:t>OKathuri</w:t>
      </w:r>
      <w:r>
        <w:rPr>
          <w:rFonts w:cs="Times New Roman"/>
          <w:szCs w:val="24"/>
        </w:rPr>
        <w:t xml:space="preserve">, N., J. &amp; Obara, J. (2020). Influence of Family Characteristics on Academic achievement of Students in Secondary Agriculture, in </w:t>
      </w:r>
      <w:r>
        <w:rPr>
          <w:rFonts w:cs="Times New Roman"/>
          <w:szCs w:val="24"/>
        </w:rPr>
        <w:t>Rachuonyo</w:t>
      </w:r>
      <w:r>
        <w:rPr>
          <w:rFonts w:cs="Times New Roman"/>
          <w:szCs w:val="24"/>
        </w:rPr>
        <w:t xml:space="preserve"> North Sub County, Kenya. </w:t>
      </w:r>
      <w:r>
        <w:rPr>
          <w:rFonts w:cs="Times New Roman"/>
          <w:i/>
          <w:szCs w:val="24"/>
        </w:rPr>
        <w:t>International Journal of Education and Research,</w:t>
      </w:r>
      <w:r>
        <w:rPr>
          <w:rFonts w:cs="Times New Roman"/>
          <w:szCs w:val="24"/>
        </w:rPr>
        <w:t xml:space="preserve"> 2(2), 1-12.</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Okioga</w:t>
      </w:r>
      <w:r>
        <w:rPr>
          <w:rFonts w:cs="Times New Roman"/>
          <w:color w:val="222222"/>
          <w:szCs w:val="24"/>
          <w:shd w:val="clear" w:color="auto" w:fill="ffffff"/>
        </w:rPr>
        <w:t xml:space="preserve">, C. K. (2020). The impact of students’ socio-economic background on academic achievement in </w:t>
      </w:r>
      <w:r>
        <w:rPr>
          <w:rFonts w:cs="Times New Roman"/>
          <w:color w:val="222222"/>
          <w:szCs w:val="24"/>
          <w:shd w:val="clear" w:color="auto" w:fill="ffffff"/>
        </w:rPr>
        <w:t>Universities</w:t>
      </w:r>
      <w:r>
        <w:rPr>
          <w:rFonts w:cs="Times New Roman"/>
          <w:color w:val="222222"/>
          <w:szCs w:val="24"/>
          <w:shd w:val="clear" w:color="auto" w:fill="ffffff"/>
        </w:rPr>
        <w:t>, a case of students in Kisii University College. </w:t>
      </w:r>
      <w:r>
        <w:rPr>
          <w:rFonts w:cs="Times New Roman"/>
          <w:i/>
          <w:iCs/>
          <w:color w:val="222222"/>
          <w:szCs w:val="24"/>
          <w:shd w:val="clear" w:color="auto" w:fill="ffffff"/>
        </w:rPr>
        <w:t>American International Journal of Social Science</w:t>
      </w:r>
      <w:r>
        <w:rPr>
          <w:rFonts w:cs="Times New Roman"/>
          <w:color w:val="222222"/>
          <w:szCs w:val="24"/>
          <w:shd w:val="clear" w:color="auto" w:fill="ffffff"/>
        </w:rPr>
        <w:t>, </w:t>
      </w:r>
      <w:r>
        <w:rPr>
          <w:rFonts w:cs="Times New Roman"/>
          <w:i/>
          <w:iCs/>
          <w:color w:val="222222"/>
          <w:szCs w:val="24"/>
          <w:shd w:val="clear" w:color="auto" w:fill="ffffff"/>
        </w:rPr>
        <w:t>2</w:t>
      </w:r>
      <w:r>
        <w:rPr>
          <w:rFonts w:cs="Times New Roman"/>
          <w:color w:val="222222"/>
          <w:szCs w:val="24"/>
          <w:shd w:val="clear" w:color="auto" w:fill="ffffff"/>
        </w:rPr>
        <w:t>(2), 38-46.</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Pandey, P., &amp; Thapa, K. (2021). Parental influences in academic achievement of school going students. </w:t>
      </w:r>
      <w:r>
        <w:rPr>
          <w:rFonts w:cs="Times New Roman"/>
          <w:i/>
          <w:iCs/>
          <w:color w:val="222222"/>
          <w:szCs w:val="24"/>
          <w:shd w:val="clear" w:color="auto" w:fill="ffffff"/>
        </w:rPr>
        <w:t>Indian Journal of Positive Psychology</w:t>
      </w:r>
      <w:r>
        <w:rPr>
          <w:rFonts w:cs="Times New Roman"/>
          <w:color w:val="222222"/>
          <w:szCs w:val="24"/>
          <w:shd w:val="clear" w:color="auto" w:fill="ffffff"/>
        </w:rPr>
        <w:t>, </w:t>
      </w:r>
      <w:r>
        <w:rPr>
          <w:rFonts w:cs="Times New Roman"/>
          <w:i/>
          <w:iCs/>
          <w:color w:val="222222"/>
          <w:szCs w:val="24"/>
          <w:shd w:val="clear" w:color="auto" w:fill="ffffff"/>
        </w:rPr>
        <w:t>8</w:t>
      </w:r>
      <w:r>
        <w:rPr>
          <w:rFonts w:cs="Times New Roman"/>
          <w:color w:val="222222"/>
          <w:szCs w:val="24"/>
          <w:shd w:val="clear" w:color="auto" w:fill="ffffff"/>
        </w:rPr>
        <w:t>(2), 132-137.</w:t>
      </w:r>
    </w:p>
    <w:bookmarkStart w:id="238" w:name="_Hlk14260023"/>
    <w:p>
      <w:pPr>
        <w:pStyle w:val="style0"/>
        <w:spacing w:lineRule="auto" w:line="240"/>
        <w:ind w:left="720" w:hanging="720"/>
        <w:rPr>
          <w:rFonts w:cs="Times New Roman"/>
          <w:szCs w:val="24"/>
          <w:lang w:val="en-GB"/>
        </w:rPr>
      </w:pPr>
      <w:r>
        <w:rPr>
          <w:rFonts w:cs="Times New Roman"/>
          <w:szCs w:val="24"/>
          <w:lang w:val="en-GB"/>
        </w:rPr>
        <w:t>Patten, M. L., &amp; Newhart, M. (2017). </w:t>
      </w:r>
      <w:bookmarkEnd w:id="238"/>
      <w:r>
        <w:rPr>
          <w:rFonts w:cs="Times New Roman"/>
          <w:i/>
          <w:iCs/>
          <w:szCs w:val="24"/>
          <w:lang w:val="en-GB"/>
        </w:rPr>
        <w:t>Understanding research methods: An overview of the essentials.</w:t>
      </w:r>
      <w:r>
        <w:rPr>
          <w:rFonts w:cs="Times New Roman"/>
          <w:szCs w:val="24"/>
          <w:lang w:val="en-GB"/>
        </w:rPr>
        <w:t xml:space="preserve"> Routledge. London</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Polovina, N. (2020). Parent-School Cooperation as a Gender Sensitive Practice. </w:t>
      </w:r>
      <w:r>
        <w:rPr>
          <w:rFonts w:cs="Times New Roman"/>
          <w:i/>
          <w:iCs/>
          <w:color w:val="222222"/>
          <w:szCs w:val="24"/>
          <w:shd w:val="clear" w:color="auto" w:fill="ffffff"/>
        </w:rPr>
        <w:t>International Journal About Parents in Education</w:t>
      </w:r>
      <w:r>
        <w:rPr>
          <w:rFonts w:cs="Times New Roman"/>
          <w:color w:val="222222"/>
          <w:szCs w:val="24"/>
          <w:shd w:val="clear" w:color="auto" w:fill="ffffff"/>
        </w:rPr>
        <w:t>, </w:t>
      </w:r>
      <w:r>
        <w:rPr>
          <w:rFonts w:cs="Times New Roman"/>
          <w:i/>
          <w:iCs/>
          <w:color w:val="222222"/>
          <w:szCs w:val="24"/>
          <w:shd w:val="clear" w:color="auto" w:fill="ffffff"/>
        </w:rPr>
        <w:t>7</w:t>
      </w:r>
      <w:r>
        <w:rPr>
          <w:rFonts w:cs="Times New Roman"/>
          <w:color w:val="222222"/>
          <w:szCs w:val="24"/>
          <w:shd w:val="clear" w:color="auto" w:fill="ffffff"/>
        </w:rPr>
        <w:t>(2), 17-25.</w:t>
      </w:r>
    </w:p>
    <w:p>
      <w:pPr>
        <w:pStyle w:val="style0"/>
        <w:spacing w:lineRule="auto" w:line="240"/>
        <w:ind w:left="720" w:hanging="720"/>
        <w:rPr>
          <w:rFonts w:cs="Times New Roman"/>
          <w:szCs w:val="24"/>
          <w:lang w:val="en-GB"/>
        </w:rPr>
      </w:pPr>
      <w:r>
        <w:rPr>
          <w:rFonts w:cs="Times New Roman"/>
          <w:szCs w:val="24"/>
          <w:lang w:val="en-GB"/>
        </w:rPr>
        <w:t>Rahi, S. (2017). Research design and methods: A systematic review of research paradigms, sampling issues and instruments development. </w:t>
      </w:r>
      <w:r>
        <w:rPr>
          <w:rFonts w:cs="Times New Roman"/>
          <w:i/>
          <w:iCs/>
          <w:szCs w:val="24"/>
          <w:lang w:val="en-GB"/>
        </w:rPr>
        <w:t>International Journal of Economics &amp; Management Sciences</w:t>
      </w:r>
      <w:r>
        <w:rPr>
          <w:rFonts w:cs="Times New Roman"/>
          <w:szCs w:val="24"/>
          <w:lang w:val="en-GB"/>
        </w:rPr>
        <w:t>, </w:t>
      </w:r>
      <w:r>
        <w:rPr>
          <w:rFonts w:cs="Times New Roman"/>
          <w:i/>
          <w:iCs/>
          <w:szCs w:val="24"/>
          <w:lang w:val="en-GB"/>
        </w:rPr>
        <w:t>6</w:t>
      </w:r>
      <w:r>
        <w:rPr>
          <w:rFonts w:cs="Times New Roman"/>
          <w:szCs w:val="24"/>
          <w:lang w:val="en-GB"/>
        </w:rPr>
        <w:t>(2), 1-5.</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 xml:space="preserve">Rono, R. (2020). Factors Affecting Pupils' Performance </w:t>
      </w:r>
      <w:r>
        <w:rPr>
          <w:rFonts w:cs="Times New Roman"/>
          <w:szCs w:val="24"/>
          <w:shd w:val="clear" w:color="auto" w:fill="ffffff"/>
        </w:rPr>
        <w:t>In</w:t>
      </w:r>
      <w:r>
        <w:rPr>
          <w:rFonts w:cs="Times New Roman"/>
          <w:szCs w:val="24"/>
          <w:shd w:val="clear" w:color="auto" w:fill="ffffff"/>
        </w:rPr>
        <w:t xml:space="preserve"> Public Primary Schools At Kenya Certificate Of Primary Education Examination (</w:t>
      </w:r>
      <w:r>
        <w:rPr>
          <w:rFonts w:cs="Times New Roman"/>
          <w:szCs w:val="24"/>
          <w:shd w:val="clear" w:color="auto" w:fill="ffffff"/>
        </w:rPr>
        <w:t>kCPE</w:t>
      </w:r>
      <w:r>
        <w:rPr>
          <w:rFonts w:cs="Times New Roman"/>
          <w:szCs w:val="24"/>
          <w:shd w:val="clear" w:color="auto" w:fill="ffffff"/>
        </w:rPr>
        <w:t xml:space="preserve">) In </w:t>
      </w:r>
      <w:r>
        <w:rPr>
          <w:rFonts w:cs="Times New Roman"/>
          <w:szCs w:val="24"/>
          <w:shd w:val="clear" w:color="auto" w:fill="ffffff"/>
        </w:rPr>
        <w:t>Emgwen</w:t>
      </w:r>
      <w:r>
        <w:rPr>
          <w:rFonts w:cs="Times New Roman"/>
          <w:szCs w:val="24"/>
          <w:shd w:val="clear" w:color="auto" w:fill="ffffff"/>
        </w:rPr>
        <w:t xml:space="preserve"> Division, Nandi District, Kenya. </w:t>
      </w:r>
      <w:r>
        <w:rPr>
          <w:rFonts w:cs="Times New Roman"/>
          <w:i/>
          <w:iCs/>
          <w:szCs w:val="24"/>
          <w:shd w:val="clear" w:color="auto" w:fill="ffffff"/>
        </w:rPr>
        <w:t>Published Master’s Thesis submitted to University of Nairobi</w:t>
      </w:r>
      <w:r>
        <w:rPr>
          <w:rFonts w:cs="Times New Roman"/>
          <w:szCs w:val="24"/>
          <w:shd w:val="clear" w:color="auto" w:fill="ffffff"/>
        </w:rPr>
        <w:t>.</w:t>
      </w:r>
    </w:p>
    <w:p>
      <w:pPr>
        <w:pStyle w:val="style0"/>
        <w:spacing w:lineRule="auto" w:line="240"/>
        <w:ind w:left="720" w:hanging="720"/>
        <w:rPr>
          <w:rFonts w:cs="Times New Roman"/>
          <w:iCs/>
          <w:szCs w:val="24"/>
          <w:lang w:val="en-GB"/>
        </w:rPr>
      </w:pPr>
      <w:r>
        <w:rPr>
          <w:rFonts w:cs="Times New Roman"/>
          <w:iCs/>
          <w:szCs w:val="24"/>
          <w:lang w:val="en-GB"/>
        </w:rPr>
        <w:t>Saunders, M. N., Lewis, P., Thornhill, A., &amp; Bristow, A. (2015). Understanding research philosophy and approaches to theory development. Harlow: Pearson. London</w:t>
      </w:r>
    </w:p>
    <w:p>
      <w:pPr>
        <w:pStyle w:val="style0"/>
        <w:spacing w:lineRule="auto" w:line="240"/>
        <w:ind w:left="720" w:hanging="720"/>
        <w:rPr>
          <w:rFonts w:cs="Times New Roman"/>
          <w:szCs w:val="24"/>
          <w:lang w:val="en-GB"/>
        </w:rPr>
      </w:pPr>
      <w:r>
        <w:rPr>
          <w:rFonts w:cs="Times New Roman"/>
          <w:szCs w:val="24"/>
          <w:lang w:val="en-GB"/>
        </w:rPr>
        <w:t xml:space="preserve">Saunders, M., Lewis, P., &amp; Thornhill, A. (2012). </w:t>
      </w:r>
      <w:r>
        <w:rPr>
          <w:rFonts w:cs="Times New Roman"/>
          <w:i/>
          <w:szCs w:val="24"/>
          <w:lang w:val="en-GB"/>
        </w:rPr>
        <w:t>Research methods for business students.</w:t>
      </w:r>
      <w:r>
        <w:rPr>
          <w:rFonts w:cs="Times New Roman"/>
          <w:szCs w:val="24"/>
          <w:lang w:val="en-GB"/>
        </w:rPr>
        <w:t> Harlow: Pearson. London</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Shen, Y. (2021). The Effect of Family Size on Children’s Education: Evidence from the Fertility Control Policy in China. </w:t>
      </w:r>
      <w:r>
        <w:rPr>
          <w:rFonts w:cs="Times New Roman"/>
          <w:i/>
          <w:iCs/>
          <w:szCs w:val="24"/>
          <w:shd w:val="clear" w:color="auto" w:fill="ffffff"/>
        </w:rPr>
        <w:t>Frontiers of Economics in China</w:t>
      </w:r>
      <w:r>
        <w:rPr>
          <w:rFonts w:cs="Times New Roman"/>
          <w:szCs w:val="24"/>
          <w:shd w:val="clear" w:color="auto" w:fill="ffffff"/>
        </w:rPr>
        <w:t>, </w:t>
      </w:r>
      <w:r>
        <w:rPr>
          <w:rFonts w:cs="Times New Roman"/>
          <w:i/>
          <w:iCs/>
          <w:szCs w:val="24"/>
          <w:shd w:val="clear" w:color="auto" w:fill="ffffff"/>
        </w:rPr>
        <w:t>12</w:t>
      </w:r>
      <w:r>
        <w:rPr>
          <w:rFonts w:cs="Times New Roman"/>
          <w:szCs w:val="24"/>
          <w:shd w:val="clear" w:color="auto" w:fill="ffffff"/>
        </w:rPr>
        <w:t>(1), 37.</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Shields, N., &amp; Hanneke, C. (2008). The effects of parental age and sibling configurations on family environment and academic achievement of children. </w:t>
      </w:r>
      <w:r>
        <w:rPr>
          <w:rFonts w:cs="Times New Roman"/>
          <w:i/>
          <w:iCs/>
          <w:color w:val="222222"/>
          <w:szCs w:val="24"/>
          <w:shd w:val="clear" w:color="auto" w:fill="ffffff"/>
        </w:rPr>
        <w:t>Journal of Applied Social Science</w:t>
      </w:r>
      <w:r>
        <w:rPr>
          <w:rFonts w:cs="Times New Roman"/>
          <w:color w:val="222222"/>
          <w:szCs w:val="24"/>
          <w:shd w:val="clear" w:color="auto" w:fill="ffffff"/>
        </w:rPr>
        <w:t>, </w:t>
      </w:r>
      <w:r>
        <w:rPr>
          <w:rFonts w:cs="Times New Roman"/>
          <w:i/>
          <w:iCs/>
          <w:color w:val="222222"/>
          <w:szCs w:val="24"/>
          <w:shd w:val="clear" w:color="auto" w:fill="ffffff"/>
        </w:rPr>
        <w:t>2</w:t>
      </w:r>
      <w:r>
        <w:rPr>
          <w:rFonts w:cs="Times New Roman"/>
          <w:color w:val="222222"/>
          <w:szCs w:val="24"/>
          <w:shd w:val="clear" w:color="auto" w:fill="ffffff"/>
        </w:rPr>
        <w:t>(1), 13-35.</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 xml:space="preserve">Siah, P. C., Christina Ong, S. B., Tan, S. M., Sim, C. P., &amp; Xian </w:t>
      </w:r>
      <w:r>
        <w:rPr>
          <w:rFonts w:cs="Times New Roman"/>
          <w:color w:val="222222"/>
          <w:szCs w:val="24"/>
          <w:shd w:val="clear" w:color="auto" w:fill="ffffff"/>
        </w:rPr>
        <w:t>Thoo</w:t>
      </w:r>
      <w:r>
        <w:rPr>
          <w:rFonts w:cs="Times New Roman"/>
          <w:color w:val="222222"/>
          <w:szCs w:val="24"/>
          <w:shd w:val="clear" w:color="auto" w:fill="ffffff"/>
        </w:rPr>
        <w:t xml:space="preserve">, R. Y. (2018). Factors affecting school choice: What do Malaysian Chinese parents </w:t>
      </w:r>
      <w:r>
        <w:rPr>
          <w:rFonts w:cs="Times New Roman"/>
          <w:color w:val="222222"/>
          <w:szCs w:val="24"/>
          <w:shd w:val="clear" w:color="auto" w:fill="ffffff"/>
        </w:rPr>
        <w:t>want?.</w:t>
      </w:r>
      <w:r>
        <w:rPr>
          <w:rFonts w:cs="Times New Roman"/>
          <w:color w:val="222222"/>
          <w:szCs w:val="24"/>
          <w:shd w:val="clear" w:color="auto" w:fill="ffffff"/>
        </w:rPr>
        <w:t> </w:t>
      </w:r>
      <w:r>
        <w:rPr>
          <w:rFonts w:cs="Times New Roman"/>
          <w:i/>
          <w:iCs/>
          <w:color w:val="222222"/>
          <w:szCs w:val="24"/>
          <w:shd w:val="clear" w:color="auto" w:fill="ffffff"/>
        </w:rPr>
        <w:t>Journal of School Choice</w:t>
      </w:r>
      <w:r>
        <w:rPr>
          <w:rFonts w:cs="Times New Roman"/>
          <w:color w:val="222222"/>
          <w:szCs w:val="24"/>
          <w:shd w:val="clear" w:color="auto" w:fill="ffffff"/>
        </w:rPr>
        <w:t>, </w:t>
      </w:r>
      <w:r>
        <w:rPr>
          <w:rFonts w:cs="Times New Roman"/>
          <w:i/>
          <w:iCs/>
          <w:color w:val="222222"/>
          <w:szCs w:val="24"/>
          <w:shd w:val="clear" w:color="auto" w:fill="ffffff"/>
        </w:rPr>
        <w:t>12</w:t>
      </w:r>
      <w:r>
        <w:rPr>
          <w:rFonts w:cs="Times New Roman"/>
          <w:color w:val="222222"/>
          <w:szCs w:val="24"/>
          <w:shd w:val="clear" w:color="auto" w:fill="ffffff"/>
        </w:rPr>
        <w:t>(1), 34-51.</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Singh, A., &amp; Singh, J. P. (2020). The influence of socio-economic status of parents and home environment on the study habits and academic achievement of students. </w:t>
      </w:r>
      <w:r>
        <w:rPr>
          <w:rFonts w:cs="Times New Roman"/>
          <w:i/>
          <w:iCs/>
          <w:color w:val="222222"/>
          <w:szCs w:val="24"/>
          <w:shd w:val="clear" w:color="auto" w:fill="ffffff"/>
        </w:rPr>
        <w:t>Educational Research</w:t>
      </w:r>
      <w:r>
        <w:rPr>
          <w:rFonts w:cs="Times New Roman"/>
          <w:color w:val="222222"/>
          <w:szCs w:val="24"/>
          <w:shd w:val="clear" w:color="auto" w:fill="ffffff"/>
        </w:rPr>
        <w:t>, </w:t>
      </w:r>
      <w:r>
        <w:rPr>
          <w:rFonts w:cs="Times New Roman"/>
          <w:i/>
          <w:iCs/>
          <w:color w:val="222222"/>
          <w:szCs w:val="24"/>
          <w:shd w:val="clear" w:color="auto" w:fill="ffffff"/>
        </w:rPr>
        <w:t>5</w:t>
      </w:r>
      <w:r>
        <w:rPr>
          <w:rFonts w:cs="Times New Roman"/>
          <w:color w:val="222222"/>
          <w:szCs w:val="24"/>
          <w:shd w:val="clear" w:color="auto" w:fill="ffffff"/>
        </w:rPr>
        <w:t>(9), 348-352.</w:t>
      </w:r>
    </w:p>
    <w:p>
      <w:pPr>
        <w:pStyle w:val="style0"/>
        <w:spacing w:lineRule="auto" w:line="240"/>
        <w:ind w:left="720" w:hanging="720"/>
        <w:rPr>
          <w:rFonts w:cs="Times New Roman"/>
          <w:color w:val="222222"/>
          <w:szCs w:val="24"/>
          <w:shd w:val="clear" w:color="auto" w:fill="ffffff"/>
        </w:rPr>
      </w:pPr>
      <w:r>
        <w:rPr>
          <w:rFonts w:cs="Times New Roman"/>
          <w:color w:val="222222"/>
          <w:szCs w:val="24"/>
          <w:shd w:val="clear" w:color="auto" w:fill="ffffff"/>
        </w:rPr>
        <w:t>Suleman, Q., Aslam, H. D., Shakir, M., Akhtar, S., Hussain, I., Akhtar, Z., &amp; Khan, W. (2020). Effects of family structure on the academic achievement of students at elementary level in Karak District, Pakistan. </w:t>
      </w:r>
      <w:r>
        <w:rPr>
          <w:rFonts w:cs="Times New Roman"/>
          <w:i/>
          <w:iCs/>
          <w:color w:val="222222"/>
          <w:szCs w:val="24"/>
          <w:shd w:val="clear" w:color="auto" w:fill="ffffff"/>
        </w:rPr>
        <w:t>Journal of Sociological Research</w:t>
      </w:r>
      <w:r>
        <w:rPr>
          <w:rFonts w:cs="Times New Roman"/>
          <w:color w:val="222222"/>
          <w:szCs w:val="24"/>
          <w:shd w:val="clear" w:color="auto" w:fill="ffffff"/>
        </w:rPr>
        <w:t>, </w:t>
      </w:r>
      <w:r>
        <w:rPr>
          <w:rFonts w:cs="Times New Roman"/>
          <w:i/>
          <w:iCs/>
          <w:color w:val="222222"/>
          <w:szCs w:val="24"/>
          <w:shd w:val="clear" w:color="auto" w:fill="ffffff"/>
        </w:rPr>
        <w:t>3</w:t>
      </w:r>
      <w:r>
        <w:rPr>
          <w:rFonts w:cs="Times New Roman"/>
          <w:color w:val="222222"/>
          <w:szCs w:val="24"/>
          <w:shd w:val="clear" w:color="auto" w:fill="ffffff"/>
        </w:rPr>
        <w:t>(2), 234-247.</w:t>
      </w:r>
    </w:p>
    <w:p>
      <w:pPr>
        <w:pStyle w:val="style0"/>
        <w:spacing w:lineRule="auto" w:line="240"/>
        <w:ind w:left="720" w:hanging="720"/>
        <w:rPr>
          <w:rFonts w:cs="Times New Roman"/>
          <w:szCs w:val="24"/>
          <w:lang w:val="en-GB"/>
        </w:rPr>
      </w:pPr>
      <w:r>
        <w:rPr>
          <w:rFonts w:cs="Times New Roman"/>
          <w:szCs w:val="24"/>
          <w:lang w:val="en-GB"/>
        </w:rPr>
        <w:t xml:space="preserve">Taber, K. S. (2018). The use of Cronbach’s alpha when developing and reporting research instruments in science education. </w:t>
      </w:r>
      <w:r>
        <w:rPr>
          <w:rFonts w:cs="Times New Roman"/>
          <w:i/>
          <w:szCs w:val="24"/>
          <w:lang w:val="en-GB"/>
        </w:rPr>
        <w:t>Research in Science Education</w:t>
      </w:r>
      <w:r>
        <w:rPr>
          <w:rFonts w:cs="Times New Roman"/>
          <w:szCs w:val="24"/>
          <w:lang w:val="en-GB"/>
        </w:rPr>
        <w:t xml:space="preserve">, 48(6), 1273–1296. </w:t>
      </w:r>
    </w:p>
    <w:p>
      <w:pPr>
        <w:pStyle w:val="style0"/>
        <w:spacing w:lineRule="auto" w:line="240"/>
        <w:ind w:left="720" w:hanging="720"/>
        <w:rPr>
          <w:rFonts w:cs="Times New Roman"/>
          <w:szCs w:val="24"/>
        </w:rPr>
      </w:pPr>
      <w:r>
        <w:rPr>
          <w:rFonts w:cs="Times New Roman"/>
          <w:szCs w:val="24"/>
          <w:shd w:val="clear" w:color="auto" w:fill="ffffff"/>
        </w:rPr>
        <w:t>Taherdoost</w:t>
      </w:r>
      <w:r>
        <w:rPr>
          <w:rFonts w:cs="Times New Roman"/>
          <w:szCs w:val="24"/>
          <w:shd w:val="clear" w:color="auto" w:fill="ffffff"/>
        </w:rPr>
        <w:t xml:space="preserve">, H. (2021). Validity and reliability of the research instrument; how to test the validation of a questionnaire/survey in </w:t>
      </w:r>
      <w:r>
        <w:rPr>
          <w:rFonts w:cs="Times New Roman"/>
          <w:szCs w:val="24"/>
          <w:shd w:val="clear" w:color="auto" w:fill="ffffff"/>
        </w:rPr>
        <w:t>a research</w:t>
      </w:r>
      <w:r>
        <w:rPr>
          <w:rFonts w:cs="Times New Roman"/>
          <w:szCs w:val="24"/>
          <w:shd w:val="clear" w:color="auto" w:fill="ffffff"/>
        </w:rPr>
        <w:t>. Available at SSRN: </w:t>
      </w:r>
      <w:r>
        <w:rPr/>
        <w:fldChar w:fldCharType="begin"/>
      </w:r>
      <w:r>
        <w:instrText xml:space="preserve"> HYPERLINK "https://ssrn.com/abstract=3205040" \t "_blank" </w:instrText>
      </w:r>
      <w:r>
        <w:rPr/>
        <w:fldChar w:fldCharType="separate"/>
      </w:r>
      <w:r>
        <w:rPr>
          <w:rStyle w:val="style85"/>
          <w:rFonts w:cs="Times New Roman"/>
          <w:szCs w:val="24"/>
          <w:shd w:val="clear" w:color="auto" w:fill="ffffff"/>
        </w:rPr>
        <w:t>https://ssrn.com/abstract=3205040</w:t>
      </w:r>
      <w:r>
        <w:rPr/>
        <w:fldChar w:fldCharType="end"/>
      </w:r>
      <w:r>
        <w:rPr>
          <w:rFonts w:cs="Times New Roman"/>
          <w:szCs w:val="24"/>
          <w:shd w:val="clear" w:color="auto" w:fill="ffffff"/>
        </w:rPr>
        <w:t> or </w:t>
      </w:r>
      <w:r>
        <w:rPr/>
        <w:fldChar w:fldCharType="begin"/>
      </w:r>
      <w:r>
        <w:instrText xml:space="preserve"> HYPERLINK "https://dx.doi.org/10.2139/ssrn.3205040" \t "_blank" </w:instrText>
      </w:r>
      <w:r>
        <w:rPr/>
        <w:fldChar w:fldCharType="separate"/>
      </w:r>
      <w:r>
        <w:rPr>
          <w:rStyle w:val="style85"/>
          <w:rFonts w:cs="Times New Roman"/>
          <w:szCs w:val="24"/>
          <w:shd w:val="clear" w:color="auto" w:fill="ffffff"/>
        </w:rPr>
        <w:t>http://dx.doi.org/10.2139/ssrn.3205040</w:t>
      </w:r>
      <w:r>
        <w:rPr/>
        <w:fldChar w:fldCharType="end"/>
      </w:r>
      <w:r>
        <w:rPr>
          <w:rStyle w:val="style85"/>
          <w:rFonts w:cs="Times New Roman"/>
          <w:szCs w:val="24"/>
          <w:shd w:val="clear" w:color="auto" w:fill="ffffff"/>
        </w:rPr>
        <w:t>.</w:t>
      </w:r>
    </w:p>
    <w:p>
      <w:pPr>
        <w:pStyle w:val="style0"/>
        <w:spacing w:lineRule="auto" w:line="240"/>
        <w:ind w:left="720" w:hanging="720"/>
        <w:rPr>
          <w:rFonts w:cs="Times New Roman"/>
          <w:szCs w:val="24"/>
          <w:lang w:val="en-GB"/>
        </w:rPr>
      </w:pPr>
      <w:r>
        <w:rPr>
          <w:rFonts w:cs="Times New Roman"/>
          <w:szCs w:val="24"/>
          <w:lang w:val="en-GB"/>
        </w:rPr>
        <w:t xml:space="preserve">Tahir, T., Ishfaq, U., Begum, S., Shaheen, G., &amp; Sharjeel, M. (2021). Effect Of Socio-Economic Status </w:t>
      </w:r>
      <w:r>
        <w:rPr>
          <w:rFonts w:cs="Times New Roman"/>
          <w:szCs w:val="24"/>
          <w:lang w:val="en-GB"/>
        </w:rPr>
        <w:t>Of</w:t>
      </w:r>
      <w:r>
        <w:rPr>
          <w:rFonts w:cs="Times New Roman"/>
          <w:szCs w:val="24"/>
          <w:lang w:val="en-GB"/>
        </w:rPr>
        <w:t xml:space="preserve"> Parents On The Student's Academic Achievement. </w:t>
      </w:r>
      <w:r>
        <w:rPr>
          <w:rFonts w:cs="Times New Roman"/>
          <w:i/>
          <w:iCs/>
          <w:szCs w:val="24"/>
          <w:lang w:val="en-GB"/>
        </w:rPr>
        <w:t>Elementary Education Online</w:t>
      </w:r>
      <w:r>
        <w:rPr>
          <w:rFonts w:cs="Times New Roman"/>
          <w:szCs w:val="24"/>
          <w:lang w:val="en-GB"/>
        </w:rPr>
        <w:t>, </w:t>
      </w:r>
      <w:r>
        <w:rPr>
          <w:rFonts w:cs="Times New Roman"/>
          <w:i/>
          <w:iCs/>
          <w:szCs w:val="24"/>
          <w:lang w:val="en-GB"/>
        </w:rPr>
        <w:t>20</w:t>
      </w:r>
      <w:r>
        <w:rPr>
          <w:rFonts w:cs="Times New Roman"/>
          <w:szCs w:val="24"/>
          <w:lang w:val="en-GB"/>
        </w:rPr>
        <w:t>(1), 4361-4361.</w:t>
      </w:r>
    </w:p>
    <w:p>
      <w:pPr>
        <w:pStyle w:val="style0"/>
        <w:spacing w:lineRule="auto" w:line="240"/>
        <w:ind w:left="720" w:hanging="720"/>
        <w:rPr>
          <w:rFonts w:cs="Times New Roman"/>
          <w:szCs w:val="24"/>
          <w:lang w:val="en-GB"/>
        </w:rPr>
      </w:pPr>
      <w:r>
        <w:rPr>
          <w:rFonts w:cs="Times New Roman"/>
          <w:szCs w:val="24"/>
          <w:lang w:val="en-GB"/>
        </w:rPr>
        <w:t>Tantoh, M. C. (2023). Parental Level of Education and its Implications on their Expectations towards their Children Academic Performance. </w:t>
      </w:r>
      <w:r>
        <w:rPr>
          <w:rFonts w:cs="Times New Roman"/>
          <w:i/>
          <w:iCs/>
          <w:szCs w:val="24"/>
          <w:lang w:val="en-GB"/>
        </w:rPr>
        <w:t>International Journal of Psychology and Cognitive Education</w:t>
      </w:r>
      <w:r>
        <w:rPr>
          <w:rFonts w:cs="Times New Roman"/>
          <w:szCs w:val="24"/>
          <w:lang w:val="en-GB"/>
        </w:rPr>
        <w:t>, </w:t>
      </w:r>
      <w:r>
        <w:rPr>
          <w:rFonts w:cs="Times New Roman"/>
          <w:i/>
          <w:iCs/>
          <w:szCs w:val="24"/>
          <w:lang w:val="en-GB"/>
        </w:rPr>
        <w:t>2</w:t>
      </w:r>
      <w:r>
        <w:rPr>
          <w:rFonts w:cs="Times New Roman"/>
          <w:szCs w:val="24"/>
          <w:lang w:val="en-GB"/>
        </w:rPr>
        <w:t>(1), 1-20.</w:t>
      </w:r>
    </w:p>
    <w:p>
      <w:pPr>
        <w:pStyle w:val="style0"/>
        <w:spacing w:lineRule="auto" w:line="240"/>
        <w:ind w:left="720" w:hanging="720"/>
        <w:rPr>
          <w:rFonts w:cs="Times New Roman"/>
          <w:szCs w:val="24"/>
          <w:shd w:val="clear" w:color="auto" w:fill="ffffff"/>
        </w:rPr>
      </w:pPr>
      <w:r>
        <w:rPr>
          <w:rFonts w:cs="Times New Roman"/>
          <w:szCs w:val="24"/>
          <w:shd w:val="clear" w:color="auto" w:fill="ffffff"/>
        </w:rPr>
        <w:t>Tiruneh, W. A., &amp; Petros, P. (2020). Factors affecting female students’ academic achievement at higher education: The case of Bahir Dar University, Ethiopia. </w:t>
      </w:r>
      <w:r>
        <w:rPr>
          <w:rFonts w:cs="Times New Roman"/>
          <w:i/>
          <w:iCs/>
          <w:szCs w:val="24"/>
          <w:shd w:val="clear" w:color="auto" w:fill="ffffff"/>
        </w:rPr>
        <w:t>African Educational Research Journal</w:t>
      </w:r>
      <w:r>
        <w:rPr>
          <w:rFonts w:cs="Times New Roman"/>
          <w:szCs w:val="24"/>
          <w:shd w:val="clear" w:color="auto" w:fill="ffffff"/>
        </w:rPr>
        <w:t>, </w:t>
      </w:r>
      <w:r>
        <w:rPr>
          <w:rFonts w:cs="Times New Roman"/>
          <w:i/>
          <w:iCs/>
          <w:szCs w:val="24"/>
          <w:shd w:val="clear" w:color="auto" w:fill="ffffff"/>
        </w:rPr>
        <w:t>2</w:t>
      </w:r>
      <w:r>
        <w:rPr>
          <w:rFonts w:cs="Times New Roman"/>
          <w:szCs w:val="24"/>
          <w:shd w:val="clear" w:color="auto" w:fill="ffffff"/>
        </w:rPr>
        <w:t>(4), 161-166.</w:t>
      </w:r>
    </w:p>
    <w:p>
      <w:pPr>
        <w:pStyle w:val="style0"/>
        <w:autoSpaceDE w:val="false"/>
        <w:autoSpaceDN w:val="false"/>
        <w:adjustRightInd w:val="false"/>
        <w:spacing w:lineRule="auto" w:line="240"/>
        <w:ind w:left="720" w:hanging="720"/>
        <w:rPr>
          <w:rFonts w:cs="Times New Roman"/>
          <w:i/>
          <w:iCs/>
          <w:szCs w:val="24"/>
        </w:rPr>
      </w:pPr>
      <w:r>
        <w:rPr>
          <w:rFonts w:cs="Times New Roman"/>
          <w:szCs w:val="24"/>
        </w:rPr>
        <w:t>UNESCO (2020).</w:t>
      </w:r>
      <w:r>
        <w:rPr>
          <w:rFonts w:cs="Times New Roman"/>
          <w:szCs w:val="24"/>
        </w:rPr>
        <w:t xml:space="preserve"> </w:t>
      </w:r>
      <w:r>
        <w:rPr>
          <w:rFonts w:cs="Times New Roman"/>
          <w:i/>
          <w:iCs/>
          <w:szCs w:val="24"/>
        </w:rPr>
        <w:t xml:space="preserve">Global Education Digest 2020: Comparing Education Statistics </w:t>
      </w:r>
      <w:r>
        <w:rPr>
          <w:rFonts w:cs="Times New Roman"/>
          <w:i/>
          <w:iCs/>
          <w:szCs w:val="24"/>
        </w:rPr>
        <w:t>Across</w:t>
      </w:r>
      <w:r>
        <w:rPr>
          <w:rFonts w:cs="Times New Roman"/>
          <w:szCs w:val="24"/>
        </w:rPr>
        <w:t>the</w:t>
      </w:r>
      <w:r>
        <w:rPr>
          <w:rFonts w:cs="Times New Roman"/>
          <w:szCs w:val="24"/>
        </w:rPr>
        <w:t xml:space="preserve"> World</w:t>
      </w:r>
      <w:r>
        <w:rPr>
          <w:rFonts w:cs="Times New Roman"/>
          <w:i/>
          <w:iCs/>
          <w:szCs w:val="24"/>
        </w:rPr>
        <w:t xml:space="preserve">. Montreal. </w:t>
      </w:r>
      <w:r>
        <w:rPr>
          <w:rFonts w:cs="Times New Roman"/>
          <w:szCs w:val="24"/>
        </w:rPr>
        <w:t>UNESCO. Retrieved on 16</w:t>
      </w:r>
      <w:r>
        <w:rPr>
          <w:rFonts w:cs="Times New Roman"/>
          <w:szCs w:val="24"/>
          <w:vertAlign w:val="superscript"/>
        </w:rPr>
        <w:t>nd</w:t>
      </w:r>
      <w:r>
        <w:rPr>
          <w:rFonts w:cs="Times New Roman"/>
          <w:szCs w:val="24"/>
        </w:rPr>
        <w:t>July 2021 from http/www.uis.unesco.org.</w:t>
      </w:r>
    </w:p>
    <w:p>
      <w:pPr>
        <w:pStyle w:val="style0"/>
        <w:autoSpaceDE w:val="false"/>
        <w:autoSpaceDN w:val="false"/>
        <w:adjustRightInd w:val="false"/>
        <w:spacing w:lineRule="auto" w:line="240"/>
        <w:ind w:left="720" w:hanging="720"/>
        <w:rPr>
          <w:rFonts w:cs="Times New Roman"/>
          <w:szCs w:val="24"/>
        </w:rPr>
      </w:pPr>
      <w:r>
        <w:rPr>
          <w:rFonts w:cs="Times New Roman"/>
          <w:szCs w:val="24"/>
        </w:rPr>
        <w:t xml:space="preserve">UNESCO, (2020). </w:t>
      </w:r>
      <w:r>
        <w:rPr>
          <w:rFonts w:cs="Times New Roman"/>
          <w:i/>
          <w:iCs/>
          <w:szCs w:val="24"/>
        </w:rPr>
        <w:t xml:space="preserve">Education For All Global Monitoring Report 2020: Reaching the Marginalized. </w:t>
      </w:r>
      <w:r>
        <w:rPr>
          <w:rFonts w:cs="Times New Roman"/>
          <w:szCs w:val="24"/>
        </w:rPr>
        <w:t>Paris: UNESCO.</w:t>
      </w:r>
    </w:p>
    <w:p>
      <w:pPr>
        <w:pStyle w:val="style0"/>
        <w:spacing w:lineRule="auto" w:line="240"/>
        <w:ind w:left="720" w:hanging="720"/>
        <w:rPr>
          <w:rFonts w:cs="Times New Roman" w:eastAsia="Times New Roman"/>
          <w:szCs w:val="24"/>
        </w:rPr>
      </w:pPr>
      <w:r>
        <w:rPr>
          <w:rFonts w:cs="Times New Roman" w:eastAsia="Times New Roman"/>
          <w:szCs w:val="24"/>
        </w:rPr>
        <w:t>UNESCO, (2021). </w:t>
      </w:r>
      <w:r>
        <w:rPr>
          <w:rFonts w:cs="Times New Roman" w:eastAsia="Times New Roman"/>
          <w:i/>
          <w:iCs/>
          <w:szCs w:val="24"/>
        </w:rPr>
        <w:t>World Atlas of gender equality in education</w:t>
      </w:r>
      <w:r>
        <w:rPr>
          <w:rFonts w:cs="Times New Roman" w:eastAsia="Times New Roman"/>
          <w:szCs w:val="24"/>
        </w:rPr>
        <w:t xml:space="preserve">. Paris: Author. Retrieved from </w:t>
      </w:r>
      <w:r>
        <w:rPr>
          <w:rFonts w:cs="Times New Roman" w:eastAsia="Times New Roman"/>
          <w:szCs w:val="24"/>
          <w:u w:val="single"/>
        </w:rPr>
        <w:t>http://books.google.co.ke/books?.</w:t>
      </w:r>
    </w:p>
    <w:p>
      <w:pPr>
        <w:pStyle w:val="style0"/>
        <w:spacing w:lineRule="auto" w:line="240"/>
        <w:ind w:left="720" w:hanging="720"/>
        <w:rPr>
          <w:rFonts w:cs="Times New Roman"/>
          <w:szCs w:val="24"/>
        </w:rPr>
      </w:pPr>
      <w:r>
        <w:rPr>
          <w:rFonts w:cs="Times New Roman"/>
          <w:szCs w:val="24"/>
        </w:rPr>
        <w:t xml:space="preserve">Usman, M. T., Mukhtar, U. &amp; Auwal, S. (2021). Parents Socio-Economic Status and Students Academic achievement in Nigeria Educational System, </w:t>
      </w:r>
      <w:r>
        <w:rPr>
          <w:rFonts w:cs="Times New Roman"/>
          <w:i/>
          <w:szCs w:val="24"/>
        </w:rPr>
        <w:t>International Journal of Education and Information Technology</w:t>
      </w:r>
      <w:r>
        <w:rPr>
          <w:rFonts w:cs="Times New Roman"/>
          <w:szCs w:val="24"/>
        </w:rPr>
        <w:t>, 2 (3)14-18.</w:t>
      </w:r>
    </w:p>
    <w:p>
      <w:pPr>
        <w:pStyle w:val="style0"/>
        <w:spacing w:lineRule="auto" w:line="240"/>
        <w:ind w:left="720" w:hanging="720"/>
        <w:rPr>
          <w:rFonts w:cs="Times New Roman"/>
          <w:szCs w:val="24"/>
          <w:lang w:val="en-GB"/>
        </w:rPr>
      </w:pPr>
      <w:r>
        <w:rPr>
          <w:rFonts w:cs="Times New Roman"/>
          <w:szCs w:val="24"/>
          <w:lang w:val="en-GB"/>
        </w:rPr>
        <w:t>Walberg, H. J. (1982). Educational productivity: Theory, evidence, and prospects. </w:t>
      </w:r>
      <w:r>
        <w:rPr>
          <w:rFonts w:cs="Times New Roman"/>
          <w:i/>
          <w:iCs/>
          <w:szCs w:val="24"/>
          <w:lang w:val="en-GB"/>
        </w:rPr>
        <w:t>Australian Journal of Education</w:t>
      </w:r>
      <w:r>
        <w:rPr>
          <w:rFonts w:cs="Times New Roman"/>
          <w:szCs w:val="24"/>
          <w:lang w:val="en-GB"/>
        </w:rPr>
        <w:t>, </w:t>
      </w:r>
      <w:r>
        <w:rPr>
          <w:rFonts w:cs="Times New Roman"/>
          <w:i/>
          <w:iCs/>
          <w:szCs w:val="24"/>
          <w:lang w:val="en-GB"/>
        </w:rPr>
        <w:t>26</w:t>
      </w:r>
      <w:r>
        <w:rPr>
          <w:rFonts w:cs="Times New Roman"/>
          <w:szCs w:val="24"/>
          <w:lang w:val="en-GB"/>
        </w:rPr>
        <w:t>(2), 115-122.</w:t>
      </w:r>
    </w:p>
    <w:p>
      <w:pPr>
        <w:pStyle w:val="style0"/>
        <w:spacing w:lineRule="auto" w:line="240"/>
        <w:ind w:left="720" w:hanging="720"/>
        <w:rPr>
          <w:rFonts w:cs="Times New Roman"/>
          <w:szCs w:val="24"/>
          <w:lang w:val="en-GB"/>
        </w:rPr>
      </w:pPr>
      <w:r>
        <w:rPr>
          <w:rFonts w:cs="Times New Roman"/>
          <w:szCs w:val="24"/>
          <w:lang w:val="en-GB"/>
        </w:rPr>
        <w:t>Waxman, H. C., &amp; Walberg, H. J. (1986). Teaching and productivity. </w:t>
      </w:r>
      <w:r>
        <w:rPr>
          <w:rFonts w:cs="Times New Roman"/>
          <w:i/>
          <w:iCs/>
          <w:szCs w:val="24"/>
          <w:lang w:val="en-GB"/>
        </w:rPr>
        <w:t>Education and Urban Society</w:t>
      </w:r>
      <w:r>
        <w:rPr>
          <w:rFonts w:cs="Times New Roman"/>
          <w:szCs w:val="24"/>
          <w:lang w:val="en-GB"/>
        </w:rPr>
        <w:t>, </w:t>
      </w:r>
      <w:r>
        <w:rPr>
          <w:rFonts w:cs="Times New Roman"/>
          <w:i/>
          <w:iCs/>
          <w:szCs w:val="24"/>
          <w:lang w:val="en-GB"/>
        </w:rPr>
        <w:t>18</w:t>
      </w:r>
      <w:r>
        <w:rPr>
          <w:rFonts w:cs="Times New Roman"/>
          <w:szCs w:val="24"/>
          <w:lang w:val="en-GB"/>
        </w:rPr>
        <w:t>(2), 211-220.</w:t>
      </w:r>
    </w:p>
    <w:p>
      <w:pPr>
        <w:pStyle w:val="style0"/>
        <w:spacing w:lineRule="auto" w:line="240"/>
        <w:ind w:left="720" w:hanging="720"/>
        <w:rPr>
          <w:rFonts w:cs="Times New Roman"/>
          <w:szCs w:val="24"/>
          <w:lang w:val="en-GB"/>
        </w:rPr>
      </w:pPr>
      <w:r>
        <w:rPr>
          <w:rFonts w:cs="Times New Roman"/>
          <w:szCs w:val="24"/>
          <w:lang w:val="en-GB"/>
        </w:rPr>
        <w:t>Xue, Y., Xuan, X., Zhang, M., Li, M., Jiang, W., &amp; Wang, Y. (2020). Links of family-and school-level socioeconomic status to academic achievement among Chinese middle school students: A multilevel analysis of a national study. </w:t>
      </w:r>
      <w:r>
        <w:rPr>
          <w:rFonts w:cs="Times New Roman"/>
          <w:i/>
          <w:iCs/>
          <w:szCs w:val="24"/>
          <w:lang w:val="en-GB"/>
        </w:rPr>
        <w:t>International Journal of Educational Research</w:t>
      </w:r>
      <w:r>
        <w:rPr>
          <w:rFonts w:cs="Times New Roman"/>
          <w:szCs w:val="24"/>
          <w:lang w:val="en-GB"/>
        </w:rPr>
        <w:t>, </w:t>
      </w:r>
      <w:r>
        <w:rPr>
          <w:rFonts w:cs="Times New Roman"/>
          <w:i/>
          <w:iCs/>
          <w:szCs w:val="24"/>
          <w:lang w:val="en-GB"/>
        </w:rPr>
        <w:t>101</w:t>
      </w:r>
      <w:r>
        <w:rPr>
          <w:rFonts w:cs="Times New Roman"/>
          <w:szCs w:val="24"/>
          <w:lang w:val="en-GB"/>
        </w:rPr>
        <w:t>, 101560.</w:t>
      </w: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bookmarkStart w:id="239" w:name="_Toc144283221"/>
    <w:p>
      <w:pPr>
        <w:pStyle w:val="style1"/>
        <w:spacing w:lineRule="auto" w:line="480"/>
        <w:rPr/>
      </w:pPr>
      <w:r>
        <w:t>A</w:t>
      </w:r>
      <w:r>
        <w:t>PPENDICES</w:t>
      </w:r>
      <w:bookmarkEnd w:id="239"/>
    </w:p>
    <w:bookmarkStart w:id="240" w:name="_Toc41738424"/>
    <w:bookmarkStart w:id="241" w:name="_Toc143797179"/>
    <w:bookmarkStart w:id="242" w:name="_Toc144196163"/>
    <w:bookmarkStart w:id="243" w:name="_Toc144197269"/>
    <w:bookmarkStart w:id="244" w:name="_Toc144197406"/>
    <w:bookmarkStart w:id="245" w:name="_Toc144283222"/>
    <w:p>
      <w:pPr>
        <w:pStyle w:val="style2"/>
        <w:rPr/>
      </w:pPr>
      <w:r>
        <w:t>Appendix I: Introduction Letter</w:t>
      </w:r>
      <w:bookmarkEnd w:id="240"/>
      <w:bookmarkEnd w:id="241"/>
      <w:bookmarkEnd w:id="242"/>
      <w:bookmarkEnd w:id="243"/>
      <w:bookmarkEnd w:id="244"/>
      <w:bookmarkEnd w:id="245"/>
    </w:p>
    <w:p>
      <w:pPr>
        <w:pStyle w:val="style0"/>
        <w:rPr/>
      </w:pPr>
      <w:r>
        <w:rPr>
          <w:rFonts w:cs="Times New Roman"/>
          <w:szCs w:val="24"/>
        </w:rPr>
        <w:t>University of Embu</w:t>
      </w:r>
      <w:r>
        <w:t xml:space="preserve">, </w:t>
      </w:r>
    </w:p>
    <w:p>
      <w:pPr>
        <w:pStyle w:val="style0"/>
        <w:rPr/>
      </w:pPr>
      <w:r>
        <w:t>Department of Education</w:t>
      </w:r>
      <w:r>
        <w:t xml:space="preserve">, </w:t>
      </w:r>
    </w:p>
    <w:p>
      <w:pPr>
        <w:pStyle w:val="style0"/>
        <w:rPr/>
      </w:pPr>
      <w:r>
        <w:t xml:space="preserve">P.O. Box 92, </w:t>
      </w:r>
      <w:r>
        <w:t>Embu</w:t>
      </w:r>
    </w:p>
    <w:p>
      <w:pPr>
        <w:pStyle w:val="style0"/>
        <w:rPr/>
      </w:pPr>
      <w:r>
        <w:t xml:space="preserve">To the Head teacher, </w:t>
      </w:r>
    </w:p>
    <w:p>
      <w:pPr>
        <w:pStyle w:val="style0"/>
        <w:rPr/>
      </w:pPr>
      <w:r>
        <w:t xml:space="preserve">___________Primary School, </w:t>
      </w:r>
    </w:p>
    <w:p>
      <w:pPr>
        <w:pStyle w:val="style0"/>
        <w:rPr/>
      </w:pPr>
      <w:r>
        <w:t xml:space="preserve">P.O. Box _______________ </w:t>
      </w:r>
    </w:p>
    <w:p>
      <w:pPr>
        <w:pStyle w:val="style0"/>
        <w:rPr/>
      </w:pPr>
      <w:r>
        <w:t xml:space="preserve">Dear Sir/Madam, </w:t>
      </w:r>
    </w:p>
    <w:p>
      <w:pPr>
        <w:pStyle w:val="style0"/>
        <w:rPr>
          <w:b/>
        </w:rPr>
      </w:pPr>
      <w:r>
        <w:rPr>
          <w:b/>
        </w:rPr>
        <w:t xml:space="preserve">Re: PERMISSION TO CARRY OUT RESEARCH </w:t>
      </w:r>
    </w:p>
    <w:p>
      <w:pPr>
        <w:pStyle w:val="style0"/>
        <w:rPr/>
      </w:pPr>
      <w:r>
        <w:t xml:space="preserve">I am a postgraduate student from </w:t>
      </w:r>
      <w:r>
        <w:t xml:space="preserve">the </w:t>
      </w:r>
      <w:r>
        <w:rPr>
          <w:rFonts w:cs="Times New Roman"/>
          <w:szCs w:val="24"/>
        </w:rPr>
        <w:t>University of Embu</w:t>
      </w:r>
      <w:r>
        <w:t xml:space="preserve"> </w:t>
      </w:r>
      <w:r>
        <w:t>taking a</w:t>
      </w:r>
      <w:r>
        <w:t xml:space="preserve"> </w:t>
      </w:r>
      <w:r>
        <w:t>Master of Education in Educational, Administration and Planning</w:t>
      </w:r>
      <w:r>
        <w:t xml:space="preserve">. I </w:t>
      </w:r>
      <w:r>
        <w:t xml:space="preserve">intend to </w:t>
      </w:r>
      <w:r>
        <w:t xml:space="preserve">conduct </w:t>
      </w:r>
      <w:r>
        <w:t>a study</w:t>
      </w:r>
      <w:r>
        <w:t xml:space="preserve"> to </w:t>
      </w:r>
      <w:r>
        <w:t>identify</w:t>
      </w:r>
      <w:r>
        <w:t xml:space="preserve"> the </w:t>
      </w:r>
      <w:r>
        <w:t>impacts</w:t>
      </w:r>
      <w:r>
        <w:t xml:space="preserve"> of </w:t>
      </w:r>
      <w:r>
        <w:rPr>
          <w:shd w:val="clear" w:color="auto" w:fill="ffffff"/>
        </w:rPr>
        <w:t>socio</w:t>
      </w:r>
      <w:r>
        <w:rPr>
          <w:shd w:val="clear" w:color="auto" w:fill="ffffff"/>
        </w:rPr>
        <w:t>-</w:t>
      </w:r>
      <w:r>
        <w:rPr>
          <w:shd w:val="clear" w:color="auto" w:fill="ffffff"/>
        </w:rPr>
        <w:t>economic</w:t>
      </w:r>
      <w:r>
        <w:rPr>
          <w:shd w:val="clear" w:color="auto" w:fill="ffffff"/>
        </w:rPr>
        <w:t xml:space="preserve"> factors on </w:t>
      </w:r>
      <w:r>
        <w:rPr>
          <w:shd w:val="clear" w:color="auto" w:fill="ffffff"/>
        </w:rPr>
        <w:t xml:space="preserve">pupils’ </w:t>
      </w:r>
      <w:r>
        <w:rPr>
          <w:shd w:val="clear" w:color="auto" w:fill="ffffff"/>
        </w:rPr>
        <w:t xml:space="preserve">academic achievement </w:t>
      </w:r>
      <w:r>
        <w:rPr>
          <w:shd w:val="clear" w:color="auto" w:fill="ffffff"/>
        </w:rPr>
        <w:t>in</w:t>
      </w:r>
      <w:r>
        <w:rPr>
          <w:shd w:val="clear" w:color="auto" w:fill="ffffff"/>
        </w:rPr>
        <w:t xml:space="preserve"> primary schools in</w:t>
      </w:r>
      <w:r>
        <w:rPr>
          <w:shd w:val="clear" w:color="auto" w:fill="ffffff"/>
        </w:rPr>
        <w:t xml:space="preserve"> </w:t>
      </w:r>
      <w:r>
        <w:rPr>
          <w:shd w:val="clear" w:color="auto" w:fill="ffffff"/>
        </w:rPr>
        <w:t xml:space="preserve">Karaba Zone, </w:t>
      </w:r>
      <w:r>
        <w:rPr>
          <w:shd w:val="clear" w:color="auto" w:fill="ffffff"/>
        </w:rPr>
        <w:t>Mbeere</w:t>
      </w:r>
      <w:r>
        <w:rPr>
          <w:shd w:val="clear" w:color="auto" w:fill="ffffff"/>
        </w:rPr>
        <w:t xml:space="preserve"> </w:t>
      </w:r>
      <w:r>
        <w:rPr>
          <w:shd w:val="clear" w:color="auto" w:fill="ffffff"/>
        </w:rPr>
        <w:t>South Sub- County</w:t>
      </w:r>
      <w:r>
        <w:rPr>
          <w:b/>
        </w:rPr>
        <w:t>.</w:t>
      </w:r>
      <w:r>
        <w:t xml:space="preserve"> The purpose of this letter is to kindly request you allow me collect data from </w:t>
      </w:r>
      <w:r>
        <w:t>your</w:t>
      </w:r>
      <w:r>
        <w:t xml:space="preserve"> school. This is purely an academic exercise and the results will not be used for any other purpose. </w:t>
      </w:r>
      <w:r>
        <w:rPr>
          <w:rFonts w:cs="Times New Roman"/>
          <w:szCs w:val="24"/>
        </w:rPr>
        <w:t>T</w:t>
      </w:r>
      <w:r>
        <w:rPr>
          <w:rFonts w:cs="Times New Roman"/>
          <w:szCs w:val="24"/>
        </w:rPr>
        <w:t>herefore</w:t>
      </w:r>
      <w:r>
        <w:rPr>
          <w:rFonts w:cs="Times New Roman"/>
          <w:szCs w:val="24"/>
        </w:rPr>
        <w:t>, you are</w:t>
      </w:r>
      <w:r>
        <w:rPr>
          <w:rFonts w:cs="Times New Roman"/>
          <w:szCs w:val="24"/>
        </w:rPr>
        <w:t xml:space="preserve"> </w:t>
      </w:r>
      <w:r>
        <w:rPr>
          <w:rFonts w:cs="Times New Roman"/>
          <w:szCs w:val="24"/>
        </w:rPr>
        <w:t>requested</w:t>
      </w:r>
      <w:r>
        <w:rPr>
          <w:rFonts w:cs="Times New Roman"/>
          <w:szCs w:val="24"/>
        </w:rPr>
        <w:t xml:space="preserve"> not to indicate your name or any other form of identification. Your identity will </w:t>
      </w:r>
      <w:r>
        <w:rPr>
          <w:rFonts w:cs="Times New Roman"/>
          <w:szCs w:val="24"/>
        </w:rPr>
        <w:t>remain a</w:t>
      </w:r>
      <w:r>
        <w:rPr>
          <w:rFonts w:cs="Times New Roman"/>
          <w:szCs w:val="24"/>
        </w:rPr>
        <w:t xml:space="preserve"> secret. </w:t>
      </w:r>
    </w:p>
    <w:p>
      <w:pPr>
        <w:pStyle w:val="style0"/>
        <w:rPr/>
      </w:pPr>
      <w:r>
        <w:t xml:space="preserve">Yours faithfully, </w:t>
      </w:r>
    </w:p>
    <w:p>
      <w:pPr>
        <w:pStyle w:val="style0"/>
        <w:rPr/>
      </w:pPr>
      <w:r>
        <w:t xml:space="preserve">Peter </w:t>
      </w:r>
      <w:r>
        <w:t>Njunge</w:t>
      </w:r>
      <w:r>
        <w:t xml:space="preserve"> </w:t>
      </w:r>
      <w:r>
        <w:t>Mwangi</w:t>
      </w:r>
    </w:p>
    <w:p>
      <w:pPr>
        <w:pStyle w:val="style0"/>
        <w:rPr/>
      </w:pPr>
    </w:p>
    <w:p>
      <w:pPr>
        <w:pStyle w:val="style0"/>
        <w:tabs>
          <w:tab w:val="left" w:leader="none" w:pos="1690"/>
        </w:tabs>
        <w:rPr/>
      </w:pPr>
      <w:r>
        <w:tab/>
      </w:r>
    </w:p>
    <w:p>
      <w:pPr>
        <w:pStyle w:val="style0"/>
        <w:tabs>
          <w:tab w:val="left" w:leader="none" w:pos="1690"/>
        </w:tabs>
        <w:rPr/>
      </w:pPr>
    </w:p>
    <w:p>
      <w:pPr>
        <w:pStyle w:val="style0"/>
        <w:tabs>
          <w:tab w:val="left" w:leader="none" w:pos="1690"/>
        </w:tabs>
        <w:rPr/>
      </w:pPr>
    </w:p>
    <w:p>
      <w:pPr>
        <w:pStyle w:val="style0"/>
        <w:tabs>
          <w:tab w:val="left" w:leader="none" w:pos="1690"/>
        </w:tabs>
        <w:rPr/>
      </w:pPr>
    </w:p>
    <w:p>
      <w:pPr>
        <w:pStyle w:val="style0"/>
        <w:rPr/>
      </w:pPr>
    </w:p>
    <w:bookmarkStart w:id="246" w:name="_Toc41738425"/>
    <w:bookmarkStart w:id="247" w:name="_Toc143797180"/>
    <w:bookmarkStart w:id="248" w:name="_Toc144196164"/>
    <w:bookmarkStart w:id="249" w:name="_Toc144197270"/>
    <w:bookmarkStart w:id="250" w:name="_Toc144197407"/>
    <w:bookmarkStart w:id="251" w:name="_Toc144283223"/>
    <w:p>
      <w:pPr>
        <w:pStyle w:val="style2"/>
        <w:rPr/>
      </w:pPr>
      <w:r>
        <w:t>Appendix II: Semi-Structured Questionnaire for Parents</w:t>
      </w:r>
      <w:bookmarkEnd w:id="246"/>
      <w:bookmarkEnd w:id="247"/>
      <w:bookmarkEnd w:id="248"/>
      <w:bookmarkEnd w:id="249"/>
      <w:bookmarkEnd w:id="250"/>
      <w:bookmarkEnd w:id="251"/>
    </w:p>
    <w:p>
      <w:pPr>
        <w:pStyle w:val="style0"/>
        <w:rPr/>
      </w:pPr>
      <w:r>
        <w:t>The Semi-Structured Questionnaire for Parent will be both in English and Kiswahili version.</w:t>
      </w:r>
    </w:p>
    <w:p>
      <w:pPr>
        <w:pStyle w:val="style0"/>
        <w:rPr>
          <w:b/>
        </w:rPr>
      </w:pPr>
      <w:r>
        <w:rPr>
          <w:b/>
        </w:rPr>
        <w:t>Questionnaire in English Version</w:t>
      </w:r>
    </w:p>
    <w:p>
      <w:pPr>
        <w:pStyle w:val="style0"/>
        <w:adjustRightInd w:val="false"/>
        <w:rPr>
          <w:noProof/>
          <w:szCs w:val="24"/>
        </w:rPr>
      </w:pPr>
      <w:r>
        <w:t>Please fill in all the required information as precisely as possible and do not write your name.</w:t>
      </w:r>
      <w:r>
        <w:t xml:space="preserve"> </w:t>
      </w:r>
      <w:r>
        <w:rPr>
          <w:szCs w:val="24"/>
        </w:rPr>
        <w:t>For parents who cannot read or write, the questions in the questionnaire were read and translated to them in understandable “</w:t>
      </w:r>
      <w:r>
        <w:rPr>
          <w:i/>
          <w:szCs w:val="24"/>
        </w:rPr>
        <w:t xml:space="preserve">Swahili language” and or “native </w:t>
      </w:r>
      <w:r>
        <w:rPr>
          <w:i/>
          <w:szCs w:val="24"/>
        </w:rPr>
        <w:t>Mbeere</w:t>
      </w:r>
      <w:r>
        <w:rPr>
          <w:i/>
          <w:szCs w:val="24"/>
        </w:rPr>
        <w:t xml:space="preserve"> language”</w:t>
      </w:r>
      <w:r>
        <w:rPr>
          <w:b/>
          <w:szCs w:val="24"/>
        </w:rPr>
        <w:t>.</w:t>
      </w:r>
    </w:p>
    <w:p>
      <w:pPr>
        <w:pStyle w:val="style0"/>
        <w:rPr>
          <w:rFonts w:cs="Times New Roman"/>
          <w:b/>
          <w:szCs w:val="24"/>
        </w:rPr>
      </w:pPr>
      <w:r>
        <w:rPr>
          <w:rFonts w:cs="Times New Roman"/>
          <w:b/>
          <w:szCs w:val="24"/>
        </w:rPr>
        <w:t xml:space="preserve">Section A: Demographic data for </w:t>
      </w:r>
      <w:r>
        <w:rPr>
          <w:rFonts w:cs="Times New Roman"/>
          <w:b/>
          <w:szCs w:val="24"/>
        </w:rPr>
        <w:t>Parents</w:t>
      </w:r>
    </w:p>
    <w:p>
      <w:pPr>
        <w:pStyle w:val="style0"/>
        <w:numPr>
          <w:ilvl w:val="2"/>
          <w:numId w:val="7"/>
        </w:numPr>
        <w:rPr>
          <w:rFonts w:cs="Times New Roman"/>
          <w:szCs w:val="24"/>
        </w:rPr>
      </w:pPr>
      <w:r>
        <w:rPr>
          <w:rFonts w:cs="Times New Roman"/>
          <w:szCs w:val="24"/>
        </w:rPr>
        <w:t>Kindly indicate your gender</w:t>
      </w:r>
    </w:p>
    <w:p>
      <w:pPr>
        <w:pStyle w:val="style0"/>
        <w:numPr>
          <w:ilvl w:val="0"/>
          <w:numId w:val="9"/>
        </w:numPr>
        <w:rPr>
          <w:rFonts w:cs="Times New Roman"/>
          <w:szCs w:val="24"/>
        </w:rPr>
      </w:pPr>
      <w:r>
        <w:rPr>
          <w:rFonts w:cs="Times New Roman"/>
          <w:szCs w:val="24"/>
        </w:rPr>
        <w:t xml:space="preserve">Male             [  ]    </w:t>
      </w:r>
    </w:p>
    <w:p>
      <w:pPr>
        <w:pStyle w:val="style0"/>
        <w:numPr>
          <w:ilvl w:val="0"/>
          <w:numId w:val="9"/>
        </w:numPr>
        <w:rPr>
          <w:rFonts w:cs="Times New Roman"/>
          <w:szCs w:val="24"/>
        </w:rPr>
      </w:pPr>
      <w:r>
        <w:rPr>
          <w:rFonts w:cs="Times New Roman"/>
          <w:szCs w:val="24"/>
        </w:rPr>
        <w:t xml:space="preserve">Female         [  ]    </w:t>
      </w:r>
    </w:p>
    <w:p>
      <w:pPr>
        <w:pStyle w:val="style0"/>
        <w:numPr>
          <w:ilvl w:val="2"/>
          <w:numId w:val="7"/>
        </w:numPr>
        <w:rPr>
          <w:rFonts w:cs="Times New Roman"/>
          <w:szCs w:val="24"/>
        </w:rPr>
      </w:pPr>
      <w:r>
        <w:rPr>
          <w:rFonts w:cs="Times New Roman"/>
          <w:szCs w:val="24"/>
        </w:rPr>
        <w:t xml:space="preserve">What is your </w:t>
      </w:r>
      <w:r>
        <w:rPr>
          <w:rFonts w:cs="Times New Roman"/>
          <w:szCs w:val="24"/>
        </w:rPr>
        <w:t>highest level of education</w:t>
      </w:r>
      <w:r>
        <w:rPr>
          <w:rFonts w:cs="Times New Roman"/>
          <w:szCs w:val="24"/>
        </w:rPr>
        <w:t>?</w:t>
      </w:r>
    </w:p>
    <w:p>
      <w:pPr>
        <w:pStyle w:val="style0"/>
        <w:ind w:left="720"/>
        <w:rPr>
          <w:rFonts w:cs="Times New Roman"/>
          <w:szCs w:val="24"/>
        </w:rPr>
      </w:pPr>
      <w:r>
        <w:rPr>
          <w:rFonts w:cs="Times New Roman"/>
          <w:szCs w:val="24"/>
        </w:rPr>
        <w:t xml:space="preserve">a) </w:t>
      </w:r>
      <w:r>
        <w:rPr>
          <w:rFonts w:cs="Times New Roman"/>
          <w:szCs w:val="24"/>
        </w:rPr>
        <w:t>None</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 xml:space="preserve">[  ]    </w:t>
      </w:r>
    </w:p>
    <w:p>
      <w:pPr>
        <w:pStyle w:val="style0"/>
        <w:ind w:left="720"/>
        <w:rPr>
          <w:rFonts w:cs="Times New Roman"/>
          <w:szCs w:val="24"/>
        </w:rPr>
      </w:pPr>
      <w:r>
        <w:rPr>
          <w:rFonts w:cs="Times New Roman"/>
          <w:szCs w:val="24"/>
        </w:rPr>
        <w:t xml:space="preserve">b) </w:t>
      </w:r>
      <w:r>
        <w:rPr>
          <w:rFonts w:cs="Times New Roman"/>
          <w:szCs w:val="24"/>
        </w:rPr>
        <w:t>Primary</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 xml:space="preserve">[  ]    </w:t>
      </w:r>
    </w:p>
    <w:p>
      <w:pPr>
        <w:pStyle w:val="style0"/>
        <w:ind w:left="720"/>
        <w:rPr>
          <w:rFonts w:cs="Times New Roman"/>
          <w:szCs w:val="24"/>
        </w:rPr>
      </w:pPr>
      <w:r>
        <w:rPr>
          <w:rFonts w:cs="Times New Roman"/>
          <w:szCs w:val="24"/>
        </w:rPr>
        <w:t xml:space="preserve">c) </w:t>
      </w:r>
      <w:r>
        <w:rPr>
          <w:rFonts w:cs="Times New Roman"/>
          <w:szCs w:val="24"/>
        </w:rPr>
        <w:t>Secondary</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 xml:space="preserve">[  ]    </w:t>
      </w:r>
    </w:p>
    <w:p>
      <w:pPr>
        <w:pStyle w:val="style0"/>
        <w:ind w:left="720"/>
        <w:rPr>
          <w:rFonts w:cs="Times New Roman"/>
          <w:szCs w:val="24"/>
        </w:rPr>
      </w:pPr>
      <w:r>
        <w:rPr>
          <w:rFonts w:cs="Times New Roman"/>
          <w:szCs w:val="24"/>
        </w:rPr>
        <w:t xml:space="preserve">d) </w:t>
      </w:r>
      <w:r>
        <w:rPr>
          <w:rFonts w:cs="Times New Roman"/>
          <w:szCs w:val="24"/>
        </w:rPr>
        <w:t>Certificate/Diploma</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 xml:space="preserve">[  ]    </w:t>
      </w:r>
    </w:p>
    <w:p>
      <w:pPr>
        <w:pStyle w:val="style0"/>
        <w:ind w:left="720"/>
        <w:rPr>
          <w:rFonts w:cs="Times New Roman"/>
          <w:szCs w:val="24"/>
        </w:rPr>
      </w:pPr>
      <w:r>
        <w:rPr>
          <w:rFonts w:cs="Times New Roman"/>
          <w:szCs w:val="24"/>
        </w:rPr>
        <w:t xml:space="preserve">e) </w:t>
      </w:r>
      <w:r>
        <w:rPr>
          <w:rFonts w:cs="Times New Roman"/>
          <w:szCs w:val="24"/>
        </w:rPr>
        <w:t>Bachelor Degree/Postgraduate Degree</w:t>
      </w:r>
      <w:r>
        <w:rPr>
          <w:rFonts w:cs="Times New Roman"/>
          <w:szCs w:val="24"/>
        </w:rPr>
        <w:tab/>
      </w:r>
      <w:r>
        <w:rPr>
          <w:rFonts w:cs="Times New Roman"/>
          <w:szCs w:val="24"/>
        </w:rPr>
        <w:tab/>
      </w:r>
      <w:r>
        <w:rPr>
          <w:rFonts w:cs="Times New Roman"/>
          <w:szCs w:val="24"/>
        </w:rPr>
        <w:t xml:space="preserve">[  ]    </w:t>
      </w:r>
    </w:p>
    <w:p>
      <w:pPr>
        <w:pStyle w:val="style179"/>
        <w:numPr>
          <w:ilvl w:val="2"/>
          <w:numId w:val="7"/>
        </w:numPr>
        <w:rPr>
          <w:rFonts w:cs="Times New Roman"/>
          <w:bCs/>
          <w:szCs w:val="24"/>
        </w:rPr>
      </w:pPr>
      <w:r>
        <w:rPr>
          <w:rFonts w:cs="Times New Roman"/>
          <w:bCs/>
          <w:szCs w:val="24"/>
        </w:rPr>
        <w:t>What is your age bracket?</w:t>
      </w:r>
    </w:p>
    <w:p>
      <w:pPr>
        <w:pStyle w:val="style0"/>
        <w:tabs>
          <w:tab w:val="left" w:leader="none" w:pos="3630"/>
        </w:tabs>
        <w:rPr>
          <w:rFonts w:cs="Times New Roman"/>
          <w:szCs w:val="24"/>
        </w:rPr>
      </w:pPr>
      <w:r>
        <w:rPr>
          <w:rFonts w:cs="Times New Roman"/>
          <w:szCs w:val="24"/>
        </w:rPr>
        <w:t xml:space="preserve">a) Less than 30 years       </w:t>
      </w:r>
      <w:r>
        <w:rPr>
          <w:rFonts w:cs="Times New Roman"/>
          <w:szCs w:val="24"/>
        </w:rPr>
        <w:tab/>
      </w:r>
      <w:r>
        <w:rPr>
          <w:rFonts w:cs="Times New Roman"/>
          <w:szCs w:val="24"/>
        </w:rPr>
        <w:t xml:space="preserve">[  ] b) 31-40 years  </w:t>
      </w:r>
      <w:r>
        <w:rPr>
          <w:rFonts w:cs="Times New Roman"/>
          <w:szCs w:val="24"/>
        </w:rPr>
        <w:tab/>
      </w:r>
      <w:r>
        <w:rPr>
          <w:rFonts w:cs="Times New Roman"/>
          <w:szCs w:val="24"/>
        </w:rPr>
        <w:tab/>
      </w:r>
      <w:r>
        <w:rPr>
          <w:rFonts w:cs="Times New Roman"/>
          <w:szCs w:val="24"/>
        </w:rPr>
        <w:t>[  ]</w:t>
      </w:r>
    </w:p>
    <w:p>
      <w:pPr>
        <w:pStyle w:val="style0"/>
        <w:tabs>
          <w:tab w:val="left" w:leader="none" w:pos="3630"/>
        </w:tabs>
        <w:rPr>
          <w:rFonts w:cs="Times New Roman"/>
          <w:szCs w:val="24"/>
        </w:rPr>
      </w:pPr>
      <w:r>
        <w:rPr>
          <w:rFonts w:cs="Times New Roman"/>
          <w:szCs w:val="24"/>
        </w:rPr>
        <w:t xml:space="preserve">c) 41-50 years    </w:t>
      </w:r>
      <w:r>
        <w:rPr>
          <w:rFonts w:cs="Times New Roman"/>
          <w:szCs w:val="24"/>
        </w:rPr>
        <w:tab/>
      </w:r>
      <w:r>
        <w:rPr>
          <w:rFonts w:cs="Times New Roman"/>
          <w:szCs w:val="24"/>
        </w:rPr>
        <w:t>[  ] d) 51 years and above</w:t>
      </w:r>
      <w:r>
        <w:rPr>
          <w:rFonts w:cs="Times New Roman"/>
          <w:szCs w:val="24"/>
        </w:rPr>
        <w:tab/>
      </w:r>
      <w:r>
        <w:rPr>
          <w:rFonts w:cs="Times New Roman"/>
          <w:szCs w:val="24"/>
        </w:rPr>
        <w:t>[  ]</w:t>
      </w:r>
    </w:p>
    <w:p>
      <w:pPr>
        <w:pStyle w:val="style0"/>
        <w:tabs>
          <w:tab w:val="left" w:leader="none" w:pos="3630"/>
        </w:tabs>
        <w:rPr>
          <w:rFonts w:cs="Times New Roman"/>
          <w:szCs w:val="24"/>
        </w:rPr>
      </w:pPr>
      <w:r>
        <w:rPr>
          <w:rFonts w:cs="Times New Roman"/>
          <w:szCs w:val="24"/>
        </w:rPr>
        <w:t xml:space="preserve">4. </w:t>
      </w:r>
      <w:r>
        <w:rPr>
          <w:rFonts w:eastAsia="Times New Roman"/>
        </w:rPr>
        <w:t>How many children</w:t>
      </w:r>
      <w:r>
        <w:rPr>
          <w:rFonts w:eastAsia="Times New Roman"/>
        </w:rPr>
        <w:t xml:space="preserve"> </w:t>
      </w:r>
      <w:r>
        <w:rPr>
          <w:rFonts w:eastAsia="Times New Roman"/>
        </w:rPr>
        <w:t>do you have?</w:t>
      </w:r>
    </w:p>
    <w:p>
      <w:pPr>
        <w:pStyle w:val="style0"/>
        <w:tabs>
          <w:tab w:val="left" w:leader="none" w:pos="1560"/>
        </w:tabs>
        <w:rPr>
          <w:rFonts w:eastAsia="Times New Roman"/>
        </w:rPr>
      </w:pPr>
      <w:r>
        <w:rPr>
          <w:rFonts w:eastAsia="Times New Roman"/>
        </w:rPr>
        <w:tab/>
      </w:r>
      <w:r>
        <w:rPr>
          <w:rFonts w:eastAsia="Times New Roman"/>
        </w:rPr>
        <w:t>0-2</w:t>
      </w:r>
      <w:r>
        <w:rPr>
          <w:rFonts w:eastAsia="Times New Roman"/>
        </w:rPr>
        <w:tab/>
      </w:r>
      <w:r>
        <w:rPr>
          <w:rFonts w:eastAsia="Times New Roman"/>
        </w:rPr>
        <w:tab/>
      </w:r>
      <w:r>
        <w:rPr>
          <w:rFonts w:eastAsia="Times New Roman"/>
        </w:rPr>
        <w:t>[  ]</w:t>
      </w:r>
    </w:p>
    <w:p>
      <w:pPr>
        <w:pStyle w:val="style0"/>
        <w:tabs>
          <w:tab w:val="left" w:leader="none" w:pos="1560"/>
        </w:tabs>
        <w:rPr>
          <w:rFonts w:eastAsia="Times New Roman"/>
        </w:rPr>
      </w:pPr>
      <w:r>
        <w:rPr>
          <w:rFonts w:eastAsia="Times New Roman"/>
        </w:rPr>
        <w:tab/>
      </w:r>
      <w:r>
        <w:rPr>
          <w:rFonts w:eastAsia="Times New Roman"/>
        </w:rPr>
        <w:t>2-5</w:t>
      </w:r>
      <w:r>
        <w:rPr>
          <w:rFonts w:eastAsia="Times New Roman"/>
        </w:rPr>
        <w:tab/>
      </w:r>
      <w:r>
        <w:rPr>
          <w:rFonts w:eastAsia="Times New Roman"/>
        </w:rPr>
        <w:tab/>
      </w:r>
      <w:r>
        <w:rPr>
          <w:rFonts w:eastAsia="Times New Roman"/>
        </w:rPr>
        <w:t>[  ]</w:t>
      </w:r>
    </w:p>
    <w:p>
      <w:pPr>
        <w:pStyle w:val="style0"/>
        <w:tabs>
          <w:tab w:val="left" w:leader="none" w:pos="1560"/>
        </w:tabs>
        <w:rPr>
          <w:rFonts w:eastAsia="Times New Roman"/>
        </w:rPr>
      </w:pPr>
      <w:r>
        <w:rPr>
          <w:rFonts w:eastAsia="Times New Roman"/>
        </w:rPr>
        <w:tab/>
      </w:r>
      <w:r>
        <w:rPr>
          <w:rFonts w:eastAsia="Times New Roman"/>
        </w:rPr>
        <w:t>6-10</w:t>
      </w:r>
      <w:r>
        <w:rPr>
          <w:rFonts w:eastAsia="Times New Roman"/>
        </w:rPr>
        <w:tab/>
      </w:r>
      <w:r>
        <w:rPr>
          <w:rFonts w:eastAsia="Times New Roman"/>
        </w:rPr>
        <w:tab/>
      </w:r>
      <w:r>
        <w:rPr>
          <w:rFonts w:eastAsia="Times New Roman"/>
        </w:rPr>
        <w:t>[  ]</w:t>
      </w:r>
    </w:p>
    <w:p>
      <w:pPr>
        <w:pStyle w:val="style0"/>
        <w:tabs>
          <w:tab w:val="left" w:leader="none" w:pos="1560"/>
        </w:tabs>
        <w:rPr>
          <w:rFonts w:eastAsia="Times New Roman"/>
        </w:rPr>
      </w:pPr>
      <w:r>
        <w:rPr>
          <w:rFonts w:eastAsia="Times New Roman"/>
        </w:rPr>
        <w:tab/>
      </w:r>
      <w:r>
        <w:rPr>
          <w:rFonts w:eastAsia="Times New Roman"/>
        </w:rPr>
        <w:t>More than 10</w:t>
      </w:r>
      <w:r>
        <w:rPr>
          <w:rFonts w:eastAsia="Times New Roman"/>
        </w:rPr>
        <w:tab/>
      </w:r>
      <w:r>
        <w:rPr>
          <w:rFonts w:eastAsia="Times New Roman"/>
        </w:rPr>
        <w:t>[  ]</w:t>
      </w:r>
    </w:p>
    <w:p>
      <w:pPr>
        <w:pStyle w:val="style179"/>
        <w:numPr>
          <w:ilvl w:val="2"/>
          <w:numId w:val="7"/>
        </w:numPr>
        <w:tabs>
          <w:tab w:val="left" w:leader="none" w:pos="1560"/>
        </w:tabs>
        <w:rPr>
          <w:rFonts w:eastAsia="Times New Roman"/>
        </w:rPr>
      </w:pPr>
      <w:r>
        <w:rPr>
          <w:rFonts w:eastAsia="Times New Roman"/>
        </w:rPr>
        <w:t>How is the number of children influencing your ability in adequately schooling them? Probe providing food, shelter, clothing, paying fees, acquiring stationary, paying for tour and remedial fees?</w:t>
      </w:r>
      <w:r>
        <w:rPr>
          <w:rFonts w:eastAsia="Times New Roman"/>
        </w:rPr>
        <w:t xml:space="preserve"> </w:t>
      </w:r>
    </w:p>
    <w:p>
      <w:pPr>
        <w:pStyle w:val="style0"/>
        <w:tabs>
          <w:tab w:val="left" w:leader="none" w:pos="1560"/>
        </w:tabs>
        <w:rPr>
          <w:rFonts w:eastAsia="Times New Roman"/>
        </w:rPr>
      </w:pPr>
      <w:r>
        <w:rPr>
          <w:rFonts w:cs="Times New Roman"/>
          <w:szCs w:val="24"/>
        </w:rPr>
        <w:t>……………………………………………………………………………………………………………………………………………………………………………………………………</w:t>
      </w:r>
    </w:p>
    <w:p>
      <w:pPr>
        <w:pStyle w:val="style0"/>
        <w:tabs>
          <w:tab w:val="left" w:leader="none" w:pos="3630"/>
        </w:tabs>
        <w:rPr>
          <w:rFonts w:cs="Times New Roman"/>
          <w:szCs w:val="24"/>
        </w:rPr>
      </w:pPr>
      <w:r>
        <w:rPr>
          <w:rFonts w:cs="Times New Roman"/>
          <w:szCs w:val="24"/>
        </w:rPr>
        <w:t>5</w:t>
      </w:r>
      <w:r>
        <w:rPr>
          <w:rFonts w:cs="Times New Roman"/>
          <w:szCs w:val="24"/>
        </w:rPr>
        <w:t xml:space="preserve">. </w:t>
      </w:r>
      <w:r>
        <w:rPr>
          <w:rFonts w:eastAsia="Times New Roman"/>
        </w:rPr>
        <w:t xml:space="preserve">What is the estimated </w:t>
      </w:r>
      <w:r>
        <w:rPr>
          <w:rFonts w:eastAsia="Times New Roman"/>
        </w:rPr>
        <w:t>amount</w:t>
      </w:r>
      <w:r>
        <w:rPr>
          <w:rFonts w:eastAsia="Times New Roman"/>
        </w:rPr>
        <w:t xml:space="preserve"> of your household income </w:t>
      </w:r>
      <w:r>
        <w:rPr>
          <w:rFonts w:eastAsia="Times New Roman"/>
        </w:rPr>
        <w:t>per</w:t>
      </w:r>
      <w:r>
        <w:rPr>
          <w:rFonts w:eastAsia="Times New Roman"/>
        </w:rPr>
        <w:t xml:space="preserve"> month?</w:t>
      </w:r>
    </w:p>
    <w:p>
      <w:pPr>
        <w:pStyle w:val="style0"/>
        <w:tabs>
          <w:tab w:val="left" w:leader="none" w:pos="1560"/>
        </w:tabs>
        <w:rPr>
          <w:rFonts w:eastAsia="Times New Roman"/>
        </w:rPr>
      </w:pPr>
      <w:r>
        <w:rPr>
          <w:rFonts w:eastAsia="Times New Roman"/>
        </w:rPr>
        <w:tab/>
      </w:r>
      <w:r>
        <w:rPr>
          <w:rFonts w:eastAsia="Times New Roman"/>
        </w:rPr>
        <w:t xml:space="preserve">Less than Ksh5000 </w:t>
      </w:r>
      <w:r>
        <w:rPr>
          <w:rFonts w:eastAsia="Times New Roman"/>
        </w:rPr>
        <w:tab/>
      </w:r>
      <w:r>
        <w:rPr>
          <w:rFonts w:eastAsia="Times New Roman"/>
        </w:rPr>
        <w:tab/>
      </w:r>
      <w:r>
        <w:rPr>
          <w:rFonts w:eastAsia="Times New Roman"/>
        </w:rPr>
        <w:t>[  ]</w:t>
      </w:r>
    </w:p>
    <w:p>
      <w:pPr>
        <w:pStyle w:val="style0"/>
        <w:tabs>
          <w:tab w:val="left" w:leader="none" w:pos="1560"/>
        </w:tabs>
        <w:rPr>
          <w:rFonts w:eastAsia="Times New Roman"/>
        </w:rPr>
      </w:pPr>
      <w:r>
        <w:rPr>
          <w:rFonts w:eastAsia="Times New Roman"/>
        </w:rPr>
        <w:tab/>
      </w:r>
      <w:r>
        <w:rPr>
          <w:rFonts w:eastAsia="Times New Roman"/>
        </w:rPr>
        <w:t>Kash5001-10000</w:t>
      </w:r>
      <w:r>
        <w:rPr>
          <w:rFonts w:eastAsia="Times New Roman"/>
        </w:rPr>
        <w:tab/>
      </w:r>
      <w:r>
        <w:rPr>
          <w:rFonts w:eastAsia="Times New Roman"/>
        </w:rPr>
        <w:tab/>
      </w:r>
      <w:r>
        <w:rPr>
          <w:rFonts w:eastAsia="Times New Roman"/>
        </w:rPr>
        <w:t>[  ]</w:t>
      </w:r>
    </w:p>
    <w:p>
      <w:pPr>
        <w:pStyle w:val="style0"/>
        <w:tabs>
          <w:tab w:val="left" w:leader="none" w:pos="1560"/>
        </w:tabs>
        <w:rPr>
          <w:rFonts w:eastAsia="Times New Roman"/>
        </w:rPr>
      </w:pPr>
      <w:r>
        <w:rPr>
          <w:rFonts w:eastAsia="Times New Roman"/>
        </w:rPr>
        <w:tab/>
      </w:r>
      <w:r>
        <w:rPr>
          <w:rFonts w:eastAsia="Times New Roman"/>
        </w:rPr>
        <w:t>Ksh10001-20000</w:t>
      </w:r>
      <w:r>
        <w:rPr>
          <w:rFonts w:eastAsia="Times New Roman"/>
        </w:rPr>
        <w:tab/>
      </w:r>
      <w:r>
        <w:rPr>
          <w:rFonts w:eastAsia="Times New Roman"/>
        </w:rPr>
        <w:tab/>
      </w:r>
      <w:r>
        <w:rPr>
          <w:rFonts w:eastAsia="Times New Roman"/>
        </w:rPr>
        <w:t>[  ]</w:t>
      </w:r>
    </w:p>
    <w:p>
      <w:pPr>
        <w:pStyle w:val="style0"/>
        <w:tabs>
          <w:tab w:val="left" w:leader="none" w:pos="1560"/>
        </w:tabs>
        <w:rPr>
          <w:rFonts w:eastAsia="Times New Roman"/>
        </w:rPr>
      </w:pPr>
      <w:r>
        <w:rPr>
          <w:rFonts w:eastAsia="Times New Roman"/>
        </w:rPr>
        <w:tab/>
      </w:r>
      <w:r>
        <w:rPr>
          <w:rFonts w:eastAsia="Times New Roman"/>
        </w:rPr>
        <w:t>Ksh20001-30000</w:t>
      </w:r>
      <w:r>
        <w:rPr>
          <w:rFonts w:eastAsia="Times New Roman"/>
        </w:rPr>
        <w:tab/>
      </w:r>
      <w:r>
        <w:rPr>
          <w:rFonts w:eastAsia="Times New Roman"/>
        </w:rPr>
        <w:tab/>
      </w:r>
      <w:r>
        <w:rPr>
          <w:rFonts w:eastAsia="Times New Roman"/>
        </w:rPr>
        <w:t>[  ]</w:t>
      </w:r>
    </w:p>
    <w:p>
      <w:pPr>
        <w:pStyle w:val="style0"/>
        <w:tabs>
          <w:tab w:val="left" w:leader="none" w:pos="1560"/>
        </w:tabs>
        <w:rPr>
          <w:rFonts w:eastAsia="Times New Roman"/>
        </w:rPr>
      </w:pPr>
      <w:r>
        <w:rPr>
          <w:rFonts w:eastAsia="Times New Roman"/>
        </w:rPr>
        <w:tab/>
      </w:r>
      <w:r>
        <w:rPr>
          <w:rFonts w:eastAsia="Times New Roman"/>
        </w:rPr>
        <w:t>More than Ksh30000</w:t>
      </w:r>
      <w:r>
        <w:rPr>
          <w:rFonts w:eastAsia="Times New Roman"/>
        </w:rPr>
        <w:tab/>
      </w:r>
      <w:r>
        <w:rPr>
          <w:rFonts w:eastAsia="Times New Roman"/>
        </w:rPr>
        <w:tab/>
      </w:r>
      <w:r>
        <w:rPr>
          <w:rFonts w:eastAsia="Times New Roman"/>
        </w:rPr>
        <w:t>[  ]</w:t>
      </w:r>
    </w:p>
    <w:p>
      <w:pPr>
        <w:pStyle w:val="style179"/>
        <w:numPr>
          <w:ilvl w:val="2"/>
          <w:numId w:val="7"/>
        </w:numPr>
        <w:rPr/>
      </w:pPr>
      <w:r>
        <w:t>How sufficient/insufficient is the size of your income in meeting family basic needs and in meeting for your school requirements like buying stationary, academic tours, remedial classes and school fees?</w:t>
      </w:r>
      <w:r>
        <w:t xml:space="preserve"> </w:t>
      </w:r>
    </w:p>
    <w:p>
      <w:pPr>
        <w:pStyle w:val="style0"/>
        <w:tabs>
          <w:tab w:val="left" w:leader="none" w:pos="1560"/>
        </w:tabs>
        <w:rPr>
          <w:rFonts w:cs="Times New Roman"/>
          <w:szCs w:val="24"/>
        </w:rPr>
      </w:pPr>
      <w:r>
        <w:rPr>
          <w:rFonts w:cs="Times New Roman"/>
          <w:szCs w:val="24"/>
        </w:rPr>
        <w:t>……………………………………………………………………………………………………………………………………………………………………………………………………</w:t>
      </w:r>
    </w:p>
    <w:p>
      <w:pPr>
        <w:pStyle w:val="style179"/>
        <w:numPr>
          <w:ilvl w:val="2"/>
          <w:numId w:val="7"/>
        </w:numPr>
        <w:tabs>
          <w:tab w:val="left" w:leader="none" w:pos="1560"/>
        </w:tabs>
        <w:rPr>
          <w:rFonts w:cs="Times New Roman"/>
          <w:szCs w:val="24"/>
        </w:rPr>
      </w:pPr>
      <w:r>
        <w:rPr>
          <w:rFonts w:cs="Times New Roman"/>
          <w:szCs w:val="24"/>
        </w:rPr>
        <w:t>How do you subdivide your income to meet households’ needs and school needs for your child?</w:t>
      </w:r>
    </w:p>
    <w:p>
      <w:pPr>
        <w:pStyle w:val="style0"/>
        <w:tabs>
          <w:tab w:val="left" w:leader="none" w:pos="1560"/>
        </w:tabs>
        <w:rPr>
          <w:rFonts w:eastAsia="Times New Roman"/>
        </w:rPr>
      </w:pPr>
      <w:r>
        <w:rPr>
          <w:rFonts w:cs="Times New Roman"/>
          <w:szCs w:val="24"/>
        </w:rPr>
        <w:t>……………………………………………………………………………………………………………………………………………………………………………………………………</w:t>
      </w:r>
    </w:p>
    <w:p>
      <w:pPr>
        <w:pStyle w:val="style0"/>
        <w:rPr>
          <w:rFonts w:cs="Times New Roman"/>
          <w:b/>
          <w:szCs w:val="24"/>
        </w:rPr>
      </w:pPr>
      <w:r>
        <w:rPr>
          <w:rFonts w:cs="Times New Roman"/>
          <w:b/>
          <w:szCs w:val="24"/>
        </w:rPr>
        <w:t xml:space="preserve">Section B: </w:t>
      </w:r>
      <w:r>
        <w:rPr>
          <w:rFonts w:cs="Times New Roman"/>
          <w:b/>
          <w:szCs w:val="24"/>
        </w:rPr>
        <w:t xml:space="preserve">Parents </w:t>
      </w:r>
      <w:r>
        <w:rPr>
          <w:rFonts w:cs="Times New Roman"/>
          <w:b/>
          <w:szCs w:val="24"/>
        </w:rPr>
        <w:t xml:space="preserve">level of income and their </w:t>
      </w:r>
      <w:r>
        <w:rPr>
          <w:rFonts w:cs="Times New Roman"/>
          <w:b/>
          <w:szCs w:val="24"/>
        </w:rPr>
        <w:t xml:space="preserve">ability to provide for the </w:t>
      </w:r>
      <w:r>
        <w:rPr>
          <w:rFonts w:cs="Times New Roman"/>
          <w:b/>
          <w:szCs w:val="24"/>
        </w:rPr>
        <w:t xml:space="preserve">academic </w:t>
      </w:r>
      <w:r>
        <w:rPr>
          <w:rFonts w:cs="Times New Roman"/>
          <w:b/>
          <w:szCs w:val="24"/>
        </w:rPr>
        <w:t xml:space="preserve">needs of </w:t>
      </w:r>
      <w:r>
        <w:rPr>
          <w:rFonts w:cs="Times New Roman"/>
          <w:b/>
          <w:szCs w:val="24"/>
        </w:rPr>
        <w:t xml:space="preserve">the </w:t>
      </w:r>
      <w:r>
        <w:rPr>
          <w:rFonts w:cs="Times New Roman"/>
          <w:b/>
          <w:szCs w:val="24"/>
        </w:rPr>
        <w:t>child</w:t>
      </w:r>
      <w:r>
        <w:rPr>
          <w:rFonts w:cs="Times New Roman"/>
          <w:b/>
          <w:szCs w:val="24"/>
        </w:rPr>
        <w:t xml:space="preserve">/children </w:t>
      </w:r>
    </w:p>
    <w:p>
      <w:pPr>
        <w:pStyle w:val="style4102"/>
        <w:numPr>
          <w:ilvl w:val="0"/>
          <w:numId w:val="14"/>
        </w:numPr>
        <w:spacing w:before="120" w:after="120" w:lineRule="auto" w:line="480"/>
        <w:jc w:val="both"/>
        <w:rPr>
          <w:color w:val="auto"/>
        </w:rPr>
      </w:pPr>
      <w:r>
        <w:rPr>
          <w:color w:val="auto"/>
        </w:rPr>
        <w:t xml:space="preserve">Please tick (√) in the box </w:t>
      </w:r>
      <w:r>
        <w:rPr>
          <w:color w:val="auto"/>
        </w:rPr>
        <w:t xml:space="preserve">by indicating the level of agreement on the </w:t>
      </w:r>
      <w:r>
        <w:rPr>
          <w:color w:val="auto"/>
        </w:rPr>
        <w:t>impact</w:t>
      </w:r>
      <w:r>
        <w:rPr>
          <w:color w:val="auto"/>
        </w:rPr>
        <w:t xml:space="preserve"> of household income on academic </w:t>
      </w:r>
      <w:r>
        <w:rPr>
          <w:color w:val="auto"/>
        </w:rPr>
        <w:t>attainment</w:t>
      </w:r>
      <w:r>
        <w:rPr>
          <w:color w:val="auto"/>
        </w:rPr>
        <w:t xml:space="preserve"> </w:t>
      </w:r>
      <w:r>
        <w:rPr>
          <w:color w:val="auto"/>
        </w:rPr>
        <w:t xml:space="preserve">of public primary </w:t>
      </w:r>
      <w:r>
        <w:rPr>
          <w:color w:val="auto"/>
        </w:rPr>
        <w:t xml:space="preserve">school </w:t>
      </w:r>
      <w:r>
        <w:rPr>
          <w:color w:val="auto"/>
        </w:rPr>
        <w:t>pupils</w:t>
      </w:r>
      <w:r>
        <w:rPr>
          <w:color w:val="auto"/>
        </w:rPr>
        <w:t>.</w:t>
      </w:r>
      <w:r>
        <w:rPr>
          <w:color w:val="auto"/>
        </w:rPr>
        <w:t xml:space="preserve"> </w:t>
      </w:r>
      <w:r>
        <w:t>For parents who cannot read or write, the questions in the questionnaire were read and translated to them in understandable “</w:t>
      </w:r>
      <w:r>
        <w:rPr>
          <w:i/>
        </w:rPr>
        <w:t xml:space="preserve">Swahili language” and or “native </w:t>
      </w:r>
      <w:r>
        <w:rPr>
          <w:i/>
        </w:rPr>
        <w:t>Mbeere</w:t>
      </w:r>
      <w:r>
        <w:rPr>
          <w:i/>
        </w:rPr>
        <w:t xml:space="preserve"> language”</w:t>
      </w:r>
      <w:r>
        <w:rPr>
          <w:b/>
        </w:rPr>
        <w:t>.</w:t>
      </w:r>
      <w:r>
        <w:rPr>
          <w:color w:val="auto"/>
        </w:rPr>
        <w:t xml:space="preserve"> The choices are given as </w:t>
      </w:r>
      <w:r>
        <w:t xml:space="preserve">1 – </w:t>
      </w:r>
      <w:r>
        <w:rPr>
          <w:color w:val="auto"/>
        </w:rPr>
        <w:t>never</w:t>
      </w:r>
      <w:r>
        <w:rPr>
          <w:color w:val="auto"/>
        </w:rPr>
        <w:t xml:space="preserve">, </w:t>
      </w:r>
      <w:r>
        <w:t xml:space="preserve">2 – </w:t>
      </w:r>
      <w:r>
        <w:rPr>
          <w:color w:val="auto"/>
        </w:rPr>
        <w:t>very few times</w:t>
      </w:r>
      <w:r>
        <w:rPr>
          <w:color w:val="auto"/>
        </w:rPr>
        <w:t xml:space="preserve">, </w:t>
      </w:r>
      <w:r>
        <w:t xml:space="preserve">3 – </w:t>
      </w:r>
      <w:r>
        <w:rPr>
          <w:iCs/>
        </w:rPr>
        <w:t>few times</w:t>
      </w:r>
      <w:r>
        <w:rPr>
          <w:color w:val="auto"/>
        </w:rPr>
        <w:t xml:space="preserve">, </w:t>
      </w:r>
      <w:r>
        <w:t xml:space="preserve">4 – </w:t>
      </w:r>
      <w:r>
        <w:rPr>
          <w:color w:val="auto"/>
        </w:rPr>
        <w:t>sometimes</w:t>
      </w:r>
      <w:r>
        <w:rPr>
          <w:color w:val="auto"/>
        </w:rPr>
        <w:t xml:space="preserve"> and </w:t>
      </w:r>
      <w:r>
        <w:t xml:space="preserve">5 – </w:t>
      </w:r>
      <w:r>
        <w:rPr>
          <w:color w:val="auto"/>
        </w:rPr>
        <w:t>all times</w:t>
      </w:r>
      <w:r>
        <w:rPr>
          <w:color w:val="auto"/>
        </w:rPr>
        <w: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81"/>
        <w:gridCol w:w="906"/>
        <w:gridCol w:w="1182"/>
        <w:gridCol w:w="721"/>
        <w:gridCol w:w="1095"/>
        <w:gridCol w:w="926"/>
      </w:tblGrid>
      <w:tr>
        <w:trPr>
          <w:trHeight w:val="20" w:hRule="atLeast"/>
        </w:trPr>
        <w:tc>
          <w:tcPr>
            <w:tcW w:w="2058" w:type="pct"/>
            <w:tcBorders/>
            <w:vAlign w:val="center"/>
          </w:tcPr>
          <w:p>
            <w:pPr>
              <w:pStyle w:val="style179"/>
              <w:spacing w:before="0" w:after="0" w:lineRule="auto" w:line="240"/>
              <w:ind w:left="0"/>
              <w:rPr>
                <w:rFonts w:cs="Times New Roman"/>
                <w:iCs/>
                <w:szCs w:val="24"/>
              </w:rPr>
            </w:pPr>
            <w:r>
              <w:rPr>
                <w:rFonts w:cs="Times New Roman"/>
                <w:b/>
                <w:szCs w:val="24"/>
              </w:rPr>
              <w:t>W</w:t>
            </w:r>
            <w:r>
              <w:rPr>
                <w:rFonts w:cs="Times New Roman"/>
                <w:b/>
                <w:szCs w:val="24"/>
              </w:rPr>
              <w:t>hat a parent is able to do with the income</w:t>
            </w:r>
          </w:p>
        </w:tc>
        <w:tc>
          <w:tcPr>
            <w:tcW w:w="552" w:type="pct"/>
            <w:tcBorders/>
            <w:vAlign w:val="center"/>
          </w:tcPr>
          <w:p>
            <w:pPr>
              <w:pStyle w:val="style179"/>
              <w:spacing w:before="0" w:after="0" w:lineRule="auto" w:line="240"/>
              <w:ind w:left="0"/>
              <w:rPr>
                <w:rFonts w:cs="Times New Roman"/>
                <w:iCs/>
                <w:szCs w:val="24"/>
              </w:rPr>
            </w:pPr>
            <w:r>
              <w:rPr>
                <w:rFonts w:cs="Times New Roman"/>
                <w:iCs/>
                <w:szCs w:val="24"/>
              </w:rPr>
              <w:t>Never</w:t>
            </w:r>
          </w:p>
        </w:tc>
        <w:tc>
          <w:tcPr>
            <w:tcW w:w="720" w:type="pct"/>
            <w:tcBorders/>
            <w:vAlign w:val="center"/>
          </w:tcPr>
          <w:p>
            <w:pPr>
              <w:pStyle w:val="style179"/>
              <w:spacing w:before="0" w:after="0" w:lineRule="auto" w:line="240"/>
              <w:ind w:left="0"/>
              <w:rPr>
                <w:rFonts w:cs="Times New Roman"/>
                <w:iCs/>
                <w:szCs w:val="24"/>
              </w:rPr>
            </w:pPr>
            <w:r>
              <w:rPr>
                <w:rFonts w:cs="Times New Roman"/>
                <w:iCs/>
                <w:szCs w:val="24"/>
              </w:rPr>
              <w:t>Very few times</w:t>
            </w:r>
          </w:p>
        </w:tc>
        <w:tc>
          <w:tcPr>
            <w:tcW w:w="439" w:type="pct"/>
            <w:tcBorders/>
            <w:vAlign w:val="center"/>
          </w:tcPr>
          <w:p>
            <w:pPr>
              <w:pStyle w:val="style179"/>
              <w:spacing w:before="0" w:after="0" w:lineRule="auto" w:line="240"/>
              <w:ind w:left="0"/>
              <w:rPr>
                <w:rFonts w:cs="Times New Roman"/>
                <w:iCs/>
                <w:szCs w:val="24"/>
              </w:rPr>
            </w:pPr>
            <w:r>
              <w:rPr>
                <w:rFonts w:cs="Times New Roman"/>
                <w:iCs/>
                <w:szCs w:val="24"/>
              </w:rPr>
              <w:t>Few times</w:t>
            </w:r>
          </w:p>
        </w:tc>
        <w:tc>
          <w:tcPr>
            <w:tcW w:w="667" w:type="pct"/>
            <w:tcBorders/>
          </w:tcPr>
          <w:p>
            <w:pPr>
              <w:pStyle w:val="style179"/>
              <w:spacing w:before="0" w:after="0" w:lineRule="auto" w:line="240"/>
              <w:ind w:left="0"/>
              <w:rPr>
                <w:rFonts w:cs="Times New Roman"/>
                <w:iCs/>
                <w:szCs w:val="24"/>
              </w:rPr>
            </w:pPr>
            <w:r>
              <w:rPr>
                <w:rFonts w:cs="Times New Roman"/>
                <w:iCs/>
                <w:szCs w:val="24"/>
              </w:rPr>
              <w:t>sometimes</w:t>
            </w:r>
          </w:p>
        </w:tc>
        <w:tc>
          <w:tcPr>
            <w:tcW w:w="564" w:type="pct"/>
            <w:tcBorders/>
          </w:tcPr>
          <w:p>
            <w:pPr>
              <w:pStyle w:val="style179"/>
              <w:spacing w:before="0" w:after="0" w:lineRule="auto" w:line="240"/>
              <w:ind w:left="0"/>
              <w:rPr>
                <w:rFonts w:cs="Times New Roman"/>
                <w:iCs/>
                <w:szCs w:val="24"/>
              </w:rPr>
            </w:pPr>
            <w:r>
              <w:rPr>
                <w:rFonts w:cs="Times New Roman"/>
                <w:iCs/>
                <w:szCs w:val="24"/>
              </w:rPr>
              <w:t>All times</w:t>
            </w:r>
          </w:p>
        </w:tc>
      </w:tr>
      <w:tr>
        <w:tblPrEx/>
        <w:trPr>
          <w:trHeight w:val="20" w:hRule="atLeast"/>
        </w:trPr>
        <w:tc>
          <w:tcPr>
            <w:tcW w:w="2058" w:type="pct"/>
            <w:tcBorders/>
            <w:vAlign w:val="center"/>
          </w:tcPr>
          <w:p>
            <w:pPr>
              <w:pStyle w:val="style0"/>
              <w:spacing w:before="0" w:after="0" w:lineRule="auto" w:line="240"/>
              <w:rPr/>
            </w:pPr>
            <w:r>
              <w:t xml:space="preserve">I </w:t>
            </w:r>
            <w:r>
              <w:t>can</w:t>
            </w:r>
            <w:r>
              <w:t xml:space="preserve"> pay </w:t>
            </w:r>
            <w:r>
              <w:t xml:space="preserve">school </w:t>
            </w:r>
            <w:r>
              <w:t>fees</w:t>
            </w:r>
            <w:r>
              <w:t xml:space="preserve"> for my </w:t>
            </w:r>
            <w:r>
              <w:rPr>
                <w:rFonts w:cs="Times New Roman"/>
                <w:szCs w:val="24"/>
              </w:rPr>
              <w:t>child/children</w:t>
            </w:r>
          </w:p>
        </w:tc>
        <w:tc>
          <w:tcPr>
            <w:tcW w:w="552" w:type="pct"/>
            <w:tcBorders/>
            <w:vAlign w:val="center"/>
          </w:tcPr>
          <w:p>
            <w:pPr>
              <w:pStyle w:val="style179"/>
              <w:spacing w:before="0" w:after="0" w:lineRule="auto" w:line="240"/>
              <w:ind w:left="0"/>
              <w:rPr>
                <w:rFonts w:cs="Times New Roman"/>
                <w:b/>
                <w:iCs/>
                <w:szCs w:val="24"/>
              </w:rPr>
            </w:pPr>
          </w:p>
        </w:tc>
        <w:tc>
          <w:tcPr>
            <w:tcW w:w="720" w:type="pct"/>
            <w:tcBorders/>
            <w:vAlign w:val="center"/>
          </w:tcPr>
          <w:p>
            <w:pPr>
              <w:pStyle w:val="style179"/>
              <w:spacing w:before="0" w:after="0" w:lineRule="auto" w:line="240"/>
              <w:ind w:left="0"/>
              <w:rPr>
                <w:rFonts w:cs="Times New Roman"/>
                <w:b/>
                <w:iCs/>
                <w:szCs w:val="24"/>
              </w:rPr>
            </w:pPr>
          </w:p>
        </w:tc>
        <w:tc>
          <w:tcPr>
            <w:tcW w:w="439" w:type="pct"/>
            <w:tcBorders/>
            <w:vAlign w:val="center"/>
          </w:tcPr>
          <w:p>
            <w:pPr>
              <w:pStyle w:val="style179"/>
              <w:spacing w:before="0" w:after="0" w:lineRule="auto" w:line="240"/>
              <w:ind w:left="0"/>
              <w:rPr>
                <w:rFonts w:cs="Times New Roman"/>
                <w:b/>
                <w:iCs/>
                <w:szCs w:val="24"/>
              </w:rPr>
            </w:pPr>
          </w:p>
        </w:tc>
        <w:tc>
          <w:tcPr>
            <w:tcW w:w="667" w:type="pct"/>
            <w:tcBorders/>
          </w:tcPr>
          <w:p>
            <w:pPr>
              <w:pStyle w:val="style179"/>
              <w:spacing w:before="0" w:after="0" w:lineRule="auto" w:line="240"/>
              <w:ind w:left="0"/>
              <w:rPr>
                <w:rFonts w:cs="Times New Roman"/>
                <w:b/>
                <w:iCs/>
                <w:szCs w:val="24"/>
              </w:rPr>
            </w:pPr>
          </w:p>
        </w:tc>
        <w:tc>
          <w:tcPr>
            <w:tcW w:w="564" w:type="pct"/>
            <w:tcBorders/>
          </w:tcPr>
          <w:p>
            <w:pPr>
              <w:pStyle w:val="style179"/>
              <w:spacing w:before="0" w:after="0" w:lineRule="auto" w:line="240"/>
              <w:ind w:left="0"/>
              <w:rPr>
                <w:rFonts w:cs="Times New Roman"/>
                <w:b/>
                <w:iCs/>
                <w:szCs w:val="24"/>
              </w:rPr>
            </w:pPr>
          </w:p>
        </w:tc>
      </w:tr>
      <w:tr>
        <w:tblPrEx/>
        <w:trPr>
          <w:trHeight w:val="20" w:hRule="atLeast"/>
        </w:trPr>
        <w:tc>
          <w:tcPr>
            <w:tcW w:w="2058" w:type="pct"/>
            <w:tcBorders/>
            <w:vAlign w:val="center"/>
          </w:tcPr>
          <w:p>
            <w:pPr>
              <w:pStyle w:val="style0"/>
              <w:spacing w:before="0" w:after="0" w:lineRule="auto" w:line="240"/>
              <w:rPr/>
            </w:pPr>
            <w:r>
              <w:t xml:space="preserve">I </w:t>
            </w:r>
            <w:r>
              <w:t>can</w:t>
            </w:r>
            <w:r>
              <w:t xml:space="preserve"> purchase learning items</w:t>
            </w:r>
            <w:r>
              <w:t xml:space="preserve"> for my </w:t>
            </w:r>
            <w:r>
              <w:rPr>
                <w:rFonts w:cs="Times New Roman"/>
                <w:szCs w:val="24"/>
              </w:rPr>
              <w:t>child/children</w:t>
            </w:r>
            <w:r>
              <w:t>.</w:t>
            </w:r>
          </w:p>
        </w:tc>
        <w:tc>
          <w:tcPr>
            <w:tcW w:w="552" w:type="pct"/>
            <w:tcBorders/>
            <w:vAlign w:val="center"/>
          </w:tcPr>
          <w:p>
            <w:pPr>
              <w:pStyle w:val="style179"/>
              <w:spacing w:before="0" w:after="0" w:lineRule="auto" w:line="240"/>
              <w:ind w:left="0"/>
              <w:rPr>
                <w:rFonts w:cs="Times New Roman"/>
                <w:b/>
                <w:iCs/>
                <w:szCs w:val="24"/>
              </w:rPr>
            </w:pPr>
          </w:p>
        </w:tc>
        <w:tc>
          <w:tcPr>
            <w:tcW w:w="720" w:type="pct"/>
            <w:tcBorders/>
            <w:vAlign w:val="center"/>
          </w:tcPr>
          <w:p>
            <w:pPr>
              <w:pStyle w:val="style179"/>
              <w:spacing w:before="0" w:after="0" w:lineRule="auto" w:line="240"/>
              <w:ind w:left="0"/>
              <w:rPr>
                <w:rFonts w:cs="Times New Roman"/>
                <w:b/>
                <w:iCs/>
                <w:szCs w:val="24"/>
              </w:rPr>
            </w:pPr>
          </w:p>
        </w:tc>
        <w:tc>
          <w:tcPr>
            <w:tcW w:w="439" w:type="pct"/>
            <w:tcBorders/>
            <w:vAlign w:val="center"/>
          </w:tcPr>
          <w:p>
            <w:pPr>
              <w:pStyle w:val="style179"/>
              <w:spacing w:before="0" w:after="0" w:lineRule="auto" w:line="240"/>
              <w:ind w:left="0"/>
              <w:rPr>
                <w:rFonts w:cs="Times New Roman"/>
                <w:b/>
                <w:iCs/>
                <w:szCs w:val="24"/>
              </w:rPr>
            </w:pPr>
          </w:p>
        </w:tc>
        <w:tc>
          <w:tcPr>
            <w:tcW w:w="667" w:type="pct"/>
            <w:tcBorders/>
          </w:tcPr>
          <w:p>
            <w:pPr>
              <w:pStyle w:val="style179"/>
              <w:spacing w:before="0" w:after="0" w:lineRule="auto" w:line="240"/>
              <w:ind w:left="0"/>
              <w:rPr>
                <w:rFonts w:cs="Times New Roman"/>
                <w:b/>
                <w:iCs/>
                <w:szCs w:val="24"/>
              </w:rPr>
            </w:pPr>
          </w:p>
        </w:tc>
        <w:tc>
          <w:tcPr>
            <w:tcW w:w="564" w:type="pct"/>
            <w:tcBorders/>
          </w:tcPr>
          <w:p>
            <w:pPr>
              <w:pStyle w:val="style179"/>
              <w:spacing w:before="0" w:after="0" w:lineRule="auto" w:line="240"/>
              <w:ind w:left="0"/>
              <w:rPr>
                <w:rFonts w:cs="Times New Roman"/>
                <w:b/>
                <w:iCs/>
                <w:szCs w:val="24"/>
              </w:rPr>
            </w:pPr>
          </w:p>
        </w:tc>
      </w:tr>
      <w:tr>
        <w:tblPrEx/>
        <w:trPr>
          <w:trHeight w:val="20" w:hRule="atLeast"/>
        </w:trPr>
        <w:tc>
          <w:tcPr>
            <w:tcW w:w="2058" w:type="pct"/>
            <w:tcBorders/>
            <w:vAlign w:val="center"/>
          </w:tcPr>
          <w:p>
            <w:pPr>
              <w:pStyle w:val="style0"/>
              <w:spacing w:before="0" w:after="0" w:lineRule="auto" w:line="240"/>
              <w:rPr/>
            </w:pPr>
            <w:r>
              <w:t xml:space="preserve">I </w:t>
            </w:r>
            <w:r>
              <w:t>can</w:t>
            </w:r>
            <w:r>
              <w:t xml:space="preserve"> provide f</w:t>
            </w:r>
            <w:r>
              <w:t xml:space="preserve">ood </w:t>
            </w:r>
            <w:r>
              <w:t>for my</w:t>
            </w:r>
            <w:r>
              <w:t xml:space="preserve"> </w:t>
            </w:r>
            <w:r>
              <w:rPr>
                <w:rFonts w:cs="Times New Roman"/>
                <w:szCs w:val="24"/>
              </w:rPr>
              <w:t>child/children</w:t>
            </w:r>
            <w:r>
              <w:t xml:space="preserve"> before going to school</w:t>
            </w:r>
          </w:p>
        </w:tc>
        <w:tc>
          <w:tcPr>
            <w:tcW w:w="552" w:type="pct"/>
            <w:tcBorders/>
            <w:vAlign w:val="center"/>
          </w:tcPr>
          <w:p>
            <w:pPr>
              <w:pStyle w:val="style179"/>
              <w:spacing w:before="0" w:after="0" w:lineRule="auto" w:line="240"/>
              <w:ind w:left="0"/>
              <w:rPr>
                <w:rFonts w:cs="Times New Roman"/>
                <w:b/>
                <w:iCs/>
                <w:szCs w:val="24"/>
              </w:rPr>
            </w:pPr>
          </w:p>
        </w:tc>
        <w:tc>
          <w:tcPr>
            <w:tcW w:w="720" w:type="pct"/>
            <w:tcBorders/>
            <w:vAlign w:val="center"/>
          </w:tcPr>
          <w:p>
            <w:pPr>
              <w:pStyle w:val="style179"/>
              <w:spacing w:before="0" w:after="0" w:lineRule="auto" w:line="240"/>
              <w:ind w:left="0"/>
              <w:rPr>
                <w:rFonts w:cs="Times New Roman"/>
                <w:b/>
                <w:iCs/>
                <w:szCs w:val="24"/>
              </w:rPr>
            </w:pPr>
          </w:p>
        </w:tc>
        <w:tc>
          <w:tcPr>
            <w:tcW w:w="439" w:type="pct"/>
            <w:tcBorders/>
            <w:vAlign w:val="center"/>
          </w:tcPr>
          <w:p>
            <w:pPr>
              <w:pStyle w:val="style179"/>
              <w:spacing w:before="0" w:after="0" w:lineRule="auto" w:line="240"/>
              <w:ind w:left="0"/>
              <w:rPr>
                <w:rFonts w:cs="Times New Roman"/>
                <w:b/>
                <w:iCs/>
                <w:szCs w:val="24"/>
              </w:rPr>
            </w:pPr>
          </w:p>
        </w:tc>
        <w:tc>
          <w:tcPr>
            <w:tcW w:w="667" w:type="pct"/>
            <w:tcBorders/>
          </w:tcPr>
          <w:p>
            <w:pPr>
              <w:pStyle w:val="style179"/>
              <w:spacing w:before="0" w:after="0" w:lineRule="auto" w:line="240"/>
              <w:ind w:left="0"/>
              <w:rPr>
                <w:rFonts w:cs="Times New Roman"/>
                <w:b/>
                <w:iCs/>
                <w:szCs w:val="24"/>
              </w:rPr>
            </w:pPr>
          </w:p>
        </w:tc>
        <w:tc>
          <w:tcPr>
            <w:tcW w:w="564" w:type="pct"/>
            <w:tcBorders/>
          </w:tcPr>
          <w:p>
            <w:pPr>
              <w:pStyle w:val="style179"/>
              <w:spacing w:before="0" w:after="0" w:lineRule="auto" w:line="240"/>
              <w:ind w:left="0"/>
              <w:rPr>
                <w:rFonts w:cs="Times New Roman"/>
                <w:b/>
                <w:iCs/>
                <w:szCs w:val="24"/>
              </w:rPr>
            </w:pPr>
          </w:p>
        </w:tc>
      </w:tr>
      <w:tr>
        <w:tblPrEx/>
        <w:trPr>
          <w:trHeight w:val="20" w:hRule="atLeast"/>
        </w:trPr>
        <w:tc>
          <w:tcPr>
            <w:tcW w:w="2058" w:type="pct"/>
            <w:tcBorders/>
            <w:vAlign w:val="center"/>
          </w:tcPr>
          <w:p>
            <w:pPr>
              <w:pStyle w:val="style179"/>
              <w:spacing w:before="0" w:after="0" w:lineRule="auto" w:line="240"/>
              <w:ind w:left="0"/>
              <w:rPr>
                <w:rFonts w:cs="Times New Roman"/>
                <w:b/>
                <w:iCs/>
                <w:szCs w:val="24"/>
              </w:rPr>
            </w:pPr>
            <w:r>
              <w:rPr>
                <w:rFonts w:cs="Times New Roman"/>
                <w:szCs w:val="24"/>
              </w:rPr>
              <w:t xml:space="preserve">I </w:t>
            </w:r>
            <w:r>
              <w:rPr>
                <w:rFonts w:cs="Times New Roman"/>
                <w:szCs w:val="24"/>
              </w:rPr>
              <w:t>can</w:t>
            </w:r>
            <w:r>
              <w:rPr>
                <w:rFonts w:cs="Times New Roman"/>
                <w:szCs w:val="24"/>
              </w:rPr>
              <w:t xml:space="preserve"> pay for </w:t>
            </w:r>
            <w:r>
              <w:rPr>
                <w:rFonts w:cs="Times New Roman"/>
                <w:szCs w:val="24"/>
              </w:rPr>
              <w:t>remedial classes</w:t>
            </w:r>
            <w:r>
              <w:rPr>
                <w:rFonts w:cs="Times New Roman"/>
                <w:szCs w:val="24"/>
              </w:rPr>
              <w:t xml:space="preserve"> to sharpen my </w:t>
            </w:r>
            <w:r>
              <w:rPr>
                <w:rFonts w:cs="Times New Roman"/>
                <w:szCs w:val="24"/>
              </w:rPr>
              <w:t>child/children</w:t>
            </w:r>
            <w:r>
              <w:rPr>
                <w:rFonts w:cs="Times New Roman"/>
                <w:szCs w:val="24"/>
              </w:rPr>
              <w:t xml:space="preserve"> in class</w:t>
            </w:r>
          </w:p>
        </w:tc>
        <w:tc>
          <w:tcPr>
            <w:tcW w:w="552" w:type="pct"/>
            <w:tcBorders/>
            <w:vAlign w:val="center"/>
          </w:tcPr>
          <w:p>
            <w:pPr>
              <w:pStyle w:val="style179"/>
              <w:spacing w:before="0" w:after="0" w:lineRule="auto" w:line="240"/>
              <w:ind w:left="0"/>
              <w:rPr>
                <w:rFonts w:cs="Times New Roman"/>
                <w:b/>
                <w:iCs/>
                <w:szCs w:val="24"/>
              </w:rPr>
            </w:pPr>
          </w:p>
        </w:tc>
        <w:tc>
          <w:tcPr>
            <w:tcW w:w="720" w:type="pct"/>
            <w:tcBorders/>
            <w:vAlign w:val="center"/>
          </w:tcPr>
          <w:p>
            <w:pPr>
              <w:pStyle w:val="style179"/>
              <w:spacing w:before="0" w:after="0" w:lineRule="auto" w:line="240"/>
              <w:ind w:left="0"/>
              <w:rPr>
                <w:rFonts w:cs="Times New Roman"/>
                <w:b/>
                <w:iCs/>
                <w:szCs w:val="24"/>
              </w:rPr>
            </w:pPr>
          </w:p>
        </w:tc>
        <w:tc>
          <w:tcPr>
            <w:tcW w:w="439" w:type="pct"/>
            <w:tcBorders/>
            <w:vAlign w:val="center"/>
          </w:tcPr>
          <w:p>
            <w:pPr>
              <w:pStyle w:val="style179"/>
              <w:spacing w:before="0" w:after="0" w:lineRule="auto" w:line="240"/>
              <w:ind w:left="0"/>
              <w:rPr>
                <w:rFonts w:cs="Times New Roman"/>
                <w:b/>
                <w:iCs/>
                <w:szCs w:val="24"/>
              </w:rPr>
            </w:pPr>
          </w:p>
        </w:tc>
        <w:tc>
          <w:tcPr>
            <w:tcW w:w="667" w:type="pct"/>
            <w:tcBorders/>
          </w:tcPr>
          <w:p>
            <w:pPr>
              <w:pStyle w:val="style179"/>
              <w:spacing w:before="0" w:after="0" w:lineRule="auto" w:line="240"/>
              <w:ind w:left="0"/>
              <w:rPr>
                <w:rFonts w:cs="Times New Roman"/>
                <w:b/>
                <w:iCs/>
                <w:szCs w:val="24"/>
              </w:rPr>
            </w:pPr>
          </w:p>
        </w:tc>
        <w:tc>
          <w:tcPr>
            <w:tcW w:w="564" w:type="pct"/>
            <w:tcBorders/>
          </w:tcPr>
          <w:p>
            <w:pPr>
              <w:pStyle w:val="style179"/>
              <w:spacing w:before="0" w:after="0" w:lineRule="auto" w:line="240"/>
              <w:ind w:left="0"/>
              <w:rPr>
                <w:rFonts w:cs="Times New Roman"/>
                <w:b/>
                <w:iCs/>
                <w:szCs w:val="24"/>
              </w:rPr>
            </w:pPr>
          </w:p>
        </w:tc>
      </w:tr>
      <w:tr>
        <w:tblPrEx/>
        <w:trPr>
          <w:trHeight w:val="20" w:hRule="atLeast"/>
        </w:trPr>
        <w:tc>
          <w:tcPr>
            <w:tcW w:w="2058" w:type="pct"/>
            <w:tcBorders/>
            <w:vAlign w:val="center"/>
          </w:tcPr>
          <w:p>
            <w:pPr>
              <w:pStyle w:val="style0"/>
              <w:spacing w:before="0" w:after="0" w:lineRule="auto" w:line="240"/>
              <w:rPr>
                <w:rFonts w:cs="Times New Roman"/>
                <w:iCs/>
                <w:szCs w:val="24"/>
              </w:rPr>
            </w:pPr>
            <w:r>
              <w:rPr>
                <w:rFonts w:cs="Times New Roman"/>
                <w:szCs w:val="24"/>
              </w:rPr>
              <w:t xml:space="preserve">I </w:t>
            </w:r>
            <w:r>
              <w:rPr>
                <w:rFonts w:cs="Times New Roman"/>
                <w:szCs w:val="24"/>
              </w:rPr>
              <w:t>can</w:t>
            </w:r>
            <w:r>
              <w:rPr>
                <w:rFonts w:cs="Times New Roman"/>
                <w:szCs w:val="24"/>
              </w:rPr>
              <w:t xml:space="preserve"> provide </w:t>
            </w:r>
            <w:r>
              <w:rPr>
                <w:rFonts w:cs="Times New Roman"/>
                <w:szCs w:val="24"/>
              </w:rPr>
              <w:t>school uniforms</w:t>
            </w:r>
            <w:r>
              <w:rPr>
                <w:rFonts w:cs="Times New Roman"/>
                <w:szCs w:val="24"/>
              </w:rPr>
              <w:t xml:space="preserve"> for my child/children</w:t>
            </w:r>
            <w:r>
              <w:rPr>
                <w:rFonts w:cs="Times New Roman"/>
                <w:szCs w:val="24"/>
              </w:rPr>
              <w:t xml:space="preserve"> </w:t>
            </w:r>
            <w:r>
              <w:rPr>
                <w:rFonts w:cs="Times New Roman"/>
                <w:szCs w:val="24"/>
              </w:rPr>
              <w:t>if necessary</w:t>
            </w:r>
          </w:p>
        </w:tc>
        <w:tc>
          <w:tcPr>
            <w:tcW w:w="552" w:type="pct"/>
            <w:tcBorders/>
            <w:vAlign w:val="center"/>
          </w:tcPr>
          <w:p>
            <w:pPr>
              <w:pStyle w:val="style179"/>
              <w:spacing w:before="0" w:after="0" w:lineRule="auto" w:line="240"/>
              <w:ind w:left="0"/>
              <w:rPr>
                <w:rFonts w:cs="Times New Roman"/>
                <w:b/>
                <w:iCs/>
                <w:szCs w:val="24"/>
              </w:rPr>
            </w:pPr>
          </w:p>
        </w:tc>
        <w:tc>
          <w:tcPr>
            <w:tcW w:w="720" w:type="pct"/>
            <w:tcBorders/>
            <w:vAlign w:val="center"/>
          </w:tcPr>
          <w:p>
            <w:pPr>
              <w:pStyle w:val="style179"/>
              <w:spacing w:before="0" w:after="0" w:lineRule="auto" w:line="240"/>
              <w:ind w:left="0"/>
              <w:rPr>
                <w:rFonts w:cs="Times New Roman"/>
                <w:b/>
                <w:iCs/>
                <w:szCs w:val="24"/>
              </w:rPr>
            </w:pPr>
          </w:p>
        </w:tc>
        <w:tc>
          <w:tcPr>
            <w:tcW w:w="439" w:type="pct"/>
            <w:tcBorders/>
            <w:vAlign w:val="center"/>
          </w:tcPr>
          <w:p>
            <w:pPr>
              <w:pStyle w:val="style179"/>
              <w:spacing w:before="0" w:after="0" w:lineRule="auto" w:line="240"/>
              <w:ind w:left="0"/>
              <w:rPr>
                <w:rFonts w:cs="Times New Roman"/>
                <w:b/>
                <w:iCs/>
                <w:szCs w:val="24"/>
              </w:rPr>
            </w:pPr>
          </w:p>
        </w:tc>
        <w:tc>
          <w:tcPr>
            <w:tcW w:w="667" w:type="pct"/>
            <w:tcBorders/>
          </w:tcPr>
          <w:p>
            <w:pPr>
              <w:pStyle w:val="style179"/>
              <w:spacing w:before="0" w:after="0" w:lineRule="auto" w:line="240"/>
              <w:ind w:left="0"/>
              <w:rPr>
                <w:rFonts w:cs="Times New Roman"/>
                <w:b/>
                <w:iCs/>
                <w:szCs w:val="24"/>
              </w:rPr>
            </w:pPr>
          </w:p>
        </w:tc>
        <w:tc>
          <w:tcPr>
            <w:tcW w:w="564" w:type="pct"/>
            <w:tcBorders/>
          </w:tcPr>
          <w:p>
            <w:pPr>
              <w:pStyle w:val="style179"/>
              <w:spacing w:before="0" w:after="0" w:lineRule="auto" w:line="240"/>
              <w:ind w:left="0"/>
              <w:rPr>
                <w:rFonts w:cs="Times New Roman"/>
                <w:b/>
                <w:iCs/>
                <w:szCs w:val="24"/>
              </w:rPr>
            </w:pPr>
          </w:p>
        </w:tc>
      </w:tr>
      <w:tr>
        <w:tblPrEx/>
        <w:trPr>
          <w:trHeight w:val="20" w:hRule="atLeast"/>
        </w:trPr>
        <w:tc>
          <w:tcPr>
            <w:tcW w:w="2058" w:type="pct"/>
            <w:tcBorders/>
            <w:vAlign w:val="center"/>
          </w:tcPr>
          <w:p>
            <w:pPr>
              <w:pStyle w:val="style0"/>
              <w:spacing w:before="0" w:after="0" w:lineRule="auto" w:line="240"/>
              <w:jc w:val="left"/>
              <w:rPr>
                <w:rFonts w:cs="Times New Roman"/>
                <w:szCs w:val="24"/>
              </w:rPr>
            </w:pPr>
            <w:r>
              <w:rPr>
                <w:rFonts w:cs="Times New Roman"/>
                <w:szCs w:val="24"/>
              </w:rPr>
              <w:t xml:space="preserve">I </w:t>
            </w:r>
            <w:r>
              <w:rPr>
                <w:rFonts w:cs="Times New Roman"/>
                <w:szCs w:val="24"/>
              </w:rPr>
              <w:t>can</w:t>
            </w:r>
            <w:r>
              <w:rPr>
                <w:rFonts w:cs="Times New Roman"/>
                <w:szCs w:val="24"/>
              </w:rPr>
              <w:t xml:space="preserve"> pay </w:t>
            </w:r>
            <w:r>
              <w:rPr>
                <w:rFonts w:cs="Times New Roman"/>
                <w:szCs w:val="24"/>
              </w:rPr>
              <w:t>for academic tours</w:t>
            </w:r>
            <w:r>
              <w:rPr>
                <w:rFonts w:cs="Times New Roman"/>
                <w:szCs w:val="24"/>
              </w:rPr>
              <w:t xml:space="preserve"> for my </w:t>
            </w:r>
            <w:r>
              <w:rPr>
                <w:rFonts w:cs="Times New Roman"/>
                <w:szCs w:val="24"/>
              </w:rPr>
              <w:t>child/children</w:t>
            </w:r>
          </w:p>
        </w:tc>
        <w:tc>
          <w:tcPr>
            <w:tcW w:w="552" w:type="pct"/>
            <w:tcBorders/>
            <w:vAlign w:val="center"/>
          </w:tcPr>
          <w:p>
            <w:pPr>
              <w:pStyle w:val="style179"/>
              <w:spacing w:before="0" w:after="0" w:lineRule="auto" w:line="240"/>
              <w:ind w:left="0"/>
              <w:rPr>
                <w:rFonts w:cs="Times New Roman"/>
                <w:b/>
                <w:iCs/>
                <w:szCs w:val="24"/>
              </w:rPr>
            </w:pPr>
          </w:p>
        </w:tc>
        <w:tc>
          <w:tcPr>
            <w:tcW w:w="720" w:type="pct"/>
            <w:tcBorders/>
            <w:vAlign w:val="center"/>
          </w:tcPr>
          <w:p>
            <w:pPr>
              <w:pStyle w:val="style179"/>
              <w:spacing w:before="0" w:after="0" w:lineRule="auto" w:line="240"/>
              <w:ind w:left="0"/>
              <w:rPr>
                <w:rFonts w:cs="Times New Roman"/>
                <w:b/>
                <w:iCs/>
                <w:szCs w:val="24"/>
              </w:rPr>
            </w:pPr>
          </w:p>
        </w:tc>
        <w:tc>
          <w:tcPr>
            <w:tcW w:w="439" w:type="pct"/>
            <w:tcBorders/>
            <w:vAlign w:val="center"/>
          </w:tcPr>
          <w:p>
            <w:pPr>
              <w:pStyle w:val="style179"/>
              <w:spacing w:before="0" w:after="0" w:lineRule="auto" w:line="240"/>
              <w:ind w:left="0"/>
              <w:rPr>
                <w:rFonts w:cs="Times New Roman"/>
                <w:b/>
                <w:iCs/>
                <w:szCs w:val="24"/>
              </w:rPr>
            </w:pPr>
          </w:p>
        </w:tc>
        <w:tc>
          <w:tcPr>
            <w:tcW w:w="667" w:type="pct"/>
            <w:tcBorders/>
          </w:tcPr>
          <w:p>
            <w:pPr>
              <w:pStyle w:val="style179"/>
              <w:spacing w:before="0" w:after="0" w:lineRule="auto" w:line="240"/>
              <w:ind w:left="0"/>
              <w:rPr>
                <w:rFonts w:cs="Times New Roman"/>
                <w:b/>
                <w:iCs/>
                <w:szCs w:val="24"/>
              </w:rPr>
            </w:pPr>
          </w:p>
        </w:tc>
        <w:tc>
          <w:tcPr>
            <w:tcW w:w="564" w:type="pct"/>
            <w:tcBorders/>
          </w:tcPr>
          <w:p>
            <w:pPr>
              <w:pStyle w:val="style179"/>
              <w:spacing w:before="0" w:after="0" w:lineRule="auto" w:line="240"/>
              <w:ind w:left="0"/>
              <w:rPr>
                <w:rFonts w:cs="Times New Roman"/>
                <w:b/>
                <w:iCs/>
                <w:szCs w:val="24"/>
              </w:rPr>
            </w:pPr>
          </w:p>
        </w:tc>
      </w:tr>
      <w:tr>
        <w:tblPrEx/>
        <w:trPr>
          <w:trHeight w:val="20" w:hRule="atLeast"/>
        </w:trPr>
        <w:tc>
          <w:tcPr>
            <w:tcW w:w="2058" w:type="pct"/>
            <w:tcBorders/>
            <w:vAlign w:val="center"/>
          </w:tcPr>
          <w:p>
            <w:pPr>
              <w:pStyle w:val="style0"/>
              <w:spacing w:before="0" w:after="0" w:lineRule="auto" w:line="240"/>
              <w:jc w:val="left"/>
              <w:rPr>
                <w:rFonts w:cs="Times New Roman"/>
                <w:iCs/>
                <w:szCs w:val="24"/>
              </w:rPr>
            </w:pPr>
            <w:r>
              <w:rPr>
                <w:rFonts w:cs="Times New Roman"/>
                <w:szCs w:val="24"/>
              </w:rPr>
              <w:t>I</w:t>
            </w:r>
            <w:r>
              <w:rPr>
                <w:rFonts w:cs="Times New Roman"/>
                <w:szCs w:val="24"/>
              </w:rPr>
              <w:t xml:space="preserve"> can</w:t>
            </w:r>
            <w:r>
              <w:rPr>
                <w:rFonts w:cs="Times New Roman"/>
                <w:szCs w:val="24"/>
              </w:rPr>
              <w:t xml:space="preserve"> pay for </w:t>
            </w:r>
            <w:r>
              <w:rPr>
                <w:rFonts w:cs="Times New Roman"/>
                <w:szCs w:val="24"/>
              </w:rPr>
              <w:t xml:space="preserve">motivational rewards </w:t>
            </w:r>
            <w:r>
              <w:rPr>
                <w:rFonts w:cs="Times New Roman"/>
                <w:szCs w:val="24"/>
              </w:rPr>
              <w:t xml:space="preserve">for best performing pupils </w:t>
            </w:r>
            <w:r>
              <w:rPr>
                <w:rFonts w:cs="Times New Roman"/>
                <w:szCs w:val="24"/>
              </w:rPr>
              <w:t>in</w:t>
            </w:r>
            <w:r>
              <w:rPr>
                <w:rFonts w:cs="Times New Roman"/>
                <w:szCs w:val="24"/>
              </w:rPr>
              <w:t xml:space="preserve"> the</w:t>
            </w:r>
            <w:r>
              <w:rPr>
                <w:rFonts w:cs="Times New Roman"/>
                <w:szCs w:val="24"/>
              </w:rPr>
              <w:t xml:space="preserve"> school</w:t>
            </w:r>
            <w:r>
              <w:rPr>
                <w:rFonts w:cs="Times New Roman"/>
                <w:szCs w:val="24"/>
              </w:rPr>
              <w:t xml:space="preserve"> where my child studies</w:t>
            </w:r>
          </w:p>
        </w:tc>
        <w:tc>
          <w:tcPr>
            <w:tcW w:w="552" w:type="pct"/>
            <w:tcBorders/>
            <w:vAlign w:val="center"/>
          </w:tcPr>
          <w:p>
            <w:pPr>
              <w:pStyle w:val="style179"/>
              <w:spacing w:before="0" w:after="0" w:lineRule="auto" w:line="240"/>
              <w:ind w:left="0"/>
              <w:rPr>
                <w:rFonts w:cs="Times New Roman"/>
                <w:b/>
                <w:iCs/>
                <w:szCs w:val="24"/>
              </w:rPr>
            </w:pPr>
          </w:p>
        </w:tc>
        <w:tc>
          <w:tcPr>
            <w:tcW w:w="720" w:type="pct"/>
            <w:tcBorders/>
            <w:vAlign w:val="center"/>
          </w:tcPr>
          <w:p>
            <w:pPr>
              <w:pStyle w:val="style179"/>
              <w:spacing w:before="0" w:after="0" w:lineRule="auto" w:line="240"/>
              <w:ind w:left="0"/>
              <w:rPr>
                <w:rFonts w:cs="Times New Roman"/>
                <w:b/>
                <w:iCs/>
                <w:szCs w:val="24"/>
              </w:rPr>
            </w:pPr>
          </w:p>
        </w:tc>
        <w:tc>
          <w:tcPr>
            <w:tcW w:w="439" w:type="pct"/>
            <w:tcBorders/>
            <w:vAlign w:val="center"/>
          </w:tcPr>
          <w:p>
            <w:pPr>
              <w:pStyle w:val="style179"/>
              <w:spacing w:before="0" w:after="0" w:lineRule="auto" w:line="240"/>
              <w:ind w:left="0"/>
              <w:rPr>
                <w:rFonts w:cs="Times New Roman"/>
                <w:b/>
                <w:iCs/>
                <w:szCs w:val="24"/>
              </w:rPr>
            </w:pPr>
          </w:p>
        </w:tc>
        <w:tc>
          <w:tcPr>
            <w:tcW w:w="667" w:type="pct"/>
            <w:tcBorders/>
          </w:tcPr>
          <w:p>
            <w:pPr>
              <w:pStyle w:val="style179"/>
              <w:spacing w:before="0" w:after="0" w:lineRule="auto" w:line="240"/>
              <w:ind w:left="0"/>
              <w:rPr>
                <w:rFonts w:cs="Times New Roman"/>
                <w:b/>
                <w:iCs/>
                <w:szCs w:val="24"/>
              </w:rPr>
            </w:pPr>
          </w:p>
        </w:tc>
        <w:tc>
          <w:tcPr>
            <w:tcW w:w="564" w:type="pct"/>
            <w:tcBorders/>
          </w:tcPr>
          <w:p>
            <w:pPr>
              <w:pStyle w:val="style179"/>
              <w:spacing w:before="0" w:after="0" w:lineRule="auto" w:line="240"/>
              <w:ind w:left="0"/>
              <w:rPr>
                <w:rFonts w:cs="Times New Roman"/>
                <w:b/>
                <w:iCs/>
                <w:szCs w:val="24"/>
              </w:rPr>
            </w:pPr>
          </w:p>
        </w:tc>
      </w:tr>
      <w:bookmarkStart w:id="252" w:name="_Toc41738426"/>
    </w:tbl>
    <w:p>
      <w:pPr>
        <w:pStyle w:val="style0"/>
        <w:rPr>
          <w:rFonts w:cs="Times New Roman"/>
          <w:b/>
          <w:szCs w:val="24"/>
        </w:rPr>
      </w:pPr>
      <w:r>
        <w:rPr>
          <w:rFonts w:cs="Times New Roman"/>
          <w:b/>
          <w:szCs w:val="24"/>
        </w:rPr>
        <w:t>Section F: Academic achievement</w:t>
      </w:r>
    </w:p>
    <w:p>
      <w:pPr>
        <w:pStyle w:val="style4102"/>
        <w:numPr>
          <w:ilvl w:val="0"/>
          <w:numId w:val="18"/>
        </w:numPr>
        <w:spacing w:before="120" w:after="120" w:lineRule="auto" w:line="480"/>
        <w:ind w:left="360"/>
        <w:jc w:val="both"/>
        <w:rPr>
          <w:color w:val="auto"/>
        </w:rPr>
      </w:pPr>
      <w:r>
        <w:rPr>
          <w:color w:val="auto"/>
        </w:rPr>
        <w:t xml:space="preserve"> Please tick (√) in the box the level of </w:t>
      </w:r>
      <w:r>
        <w:rPr>
          <w:color w:val="auto"/>
        </w:rPr>
        <w:t>academic achievement</w:t>
      </w:r>
      <w:r>
        <w:rPr>
          <w:color w:val="auto"/>
        </w:rPr>
        <w:t xml:space="preserve"> of your child in the following areas. The choices are given as </w:t>
      </w:r>
      <w:r>
        <w:t xml:space="preserve">1 – </w:t>
      </w:r>
      <w:r>
        <w:rPr>
          <w:color w:val="auto"/>
        </w:rPr>
        <w:t xml:space="preserve">very poor, </w:t>
      </w:r>
      <w:r>
        <w:t xml:space="preserve">2 – </w:t>
      </w:r>
      <w:r>
        <w:rPr>
          <w:color w:val="auto"/>
        </w:rPr>
        <w:t xml:space="preserve">poor, </w:t>
      </w:r>
      <w:r>
        <w:t xml:space="preserve">3 – </w:t>
      </w:r>
      <w:r>
        <w:rPr>
          <w:color w:val="auto"/>
        </w:rPr>
        <w:t>fair, 4</w:t>
      </w:r>
      <w:r>
        <w:t xml:space="preserve"> – </w:t>
      </w:r>
      <w:r>
        <w:rPr>
          <w:color w:val="auto"/>
        </w:rPr>
        <w:t xml:space="preserve">good and </w:t>
      </w:r>
      <w:r>
        <w:t xml:space="preserve">5 – </w:t>
      </w:r>
      <w:r>
        <w:rPr>
          <w:color w:val="auto"/>
        </w:rPr>
        <w:t>very good.</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09"/>
        <w:gridCol w:w="1225"/>
        <w:gridCol w:w="959"/>
        <w:gridCol w:w="995"/>
        <w:gridCol w:w="750"/>
        <w:gridCol w:w="1173"/>
      </w:tblGrid>
      <w:tr>
        <w:trPr>
          <w:trHeight w:val="80" w:hRule="atLeast"/>
        </w:trPr>
        <w:tc>
          <w:tcPr>
            <w:tcW w:w="1893" w:type="pct"/>
            <w:tcBorders/>
            <w:vAlign w:val="center"/>
          </w:tcPr>
          <w:p>
            <w:pPr>
              <w:pStyle w:val="style179"/>
              <w:spacing w:lineRule="auto" w:line="240"/>
              <w:ind w:left="0"/>
              <w:rPr>
                <w:rFonts w:cs="Times New Roman"/>
                <w:iCs/>
                <w:szCs w:val="24"/>
              </w:rPr>
            </w:pPr>
            <w:r>
              <w:rPr>
                <w:rFonts w:cs="Times New Roman"/>
                <w:b/>
                <w:szCs w:val="24"/>
              </w:rPr>
              <w:t>Zonal performance in:</w:t>
            </w:r>
          </w:p>
        </w:tc>
        <w:tc>
          <w:tcPr>
            <w:tcW w:w="746" w:type="pct"/>
            <w:tcBorders/>
            <w:vAlign w:val="center"/>
          </w:tcPr>
          <w:p>
            <w:pPr>
              <w:pStyle w:val="style179"/>
              <w:spacing w:lineRule="auto" w:line="240"/>
              <w:ind w:left="0"/>
              <w:rPr>
                <w:rFonts w:cs="Times New Roman"/>
                <w:iCs/>
                <w:szCs w:val="24"/>
              </w:rPr>
            </w:pPr>
          </w:p>
          <w:p>
            <w:pPr>
              <w:pStyle w:val="style179"/>
              <w:spacing w:lineRule="auto" w:line="240"/>
              <w:ind w:left="0"/>
              <w:rPr>
                <w:rFonts w:cs="Times New Roman"/>
                <w:iCs/>
                <w:szCs w:val="24"/>
              </w:rPr>
            </w:pPr>
            <w:r>
              <w:rPr>
                <w:rFonts w:cs="Times New Roman"/>
                <w:iCs/>
                <w:szCs w:val="24"/>
              </w:rPr>
              <w:t>very poor</w:t>
            </w:r>
          </w:p>
        </w:tc>
        <w:tc>
          <w:tcPr>
            <w:tcW w:w="584" w:type="pct"/>
            <w:tcBorders/>
            <w:vAlign w:val="center"/>
          </w:tcPr>
          <w:p>
            <w:pPr>
              <w:pStyle w:val="style179"/>
              <w:spacing w:lineRule="auto" w:line="240"/>
              <w:ind w:left="0"/>
              <w:rPr>
                <w:rFonts w:cs="Times New Roman"/>
                <w:iCs/>
                <w:szCs w:val="24"/>
              </w:rPr>
            </w:pPr>
          </w:p>
          <w:p>
            <w:pPr>
              <w:pStyle w:val="style179"/>
              <w:spacing w:lineRule="auto" w:line="240"/>
              <w:ind w:left="0"/>
              <w:rPr>
                <w:rFonts w:cs="Times New Roman"/>
                <w:iCs/>
                <w:szCs w:val="24"/>
              </w:rPr>
            </w:pPr>
            <w:r>
              <w:rPr>
                <w:rFonts w:cs="Times New Roman"/>
                <w:iCs/>
                <w:szCs w:val="24"/>
              </w:rPr>
              <w:t>poor</w:t>
            </w:r>
          </w:p>
        </w:tc>
        <w:tc>
          <w:tcPr>
            <w:tcW w:w="606" w:type="pct"/>
            <w:tcBorders/>
            <w:vAlign w:val="center"/>
          </w:tcPr>
          <w:p>
            <w:pPr>
              <w:pStyle w:val="style179"/>
              <w:spacing w:lineRule="auto" w:line="240"/>
              <w:ind w:left="0"/>
              <w:rPr>
                <w:rFonts w:cs="Times New Roman"/>
                <w:iCs/>
                <w:szCs w:val="24"/>
              </w:rPr>
            </w:pPr>
          </w:p>
          <w:p>
            <w:pPr>
              <w:pStyle w:val="style179"/>
              <w:spacing w:lineRule="auto" w:line="240"/>
              <w:ind w:left="0"/>
              <w:rPr>
                <w:rFonts w:cs="Times New Roman"/>
                <w:iCs/>
                <w:szCs w:val="24"/>
              </w:rPr>
            </w:pPr>
            <w:r>
              <w:rPr>
                <w:rFonts w:cs="Times New Roman"/>
                <w:iCs/>
                <w:szCs w:val="24"/>
              </w:rPr>
              <w:t>fair</w:t>
            </w:r>
          </w:p>
        </w:tc>
        <w:tc>
          <w:tcPr>
            <w:tcW w:w="457" w:type="pct"/>
            <w:tcBorders/>
          </w:tcPr>
          <w:p>
            <w:pPr>
              <w:pStyle w:val="style179"/>
              <w:spacing w:lineRule="auto" w:line="240"/>
              <w:ind w:left="0"/>
              <w:rPr>
                <w:rFonts w:cs="Times New Roman"/>
                <w:iCs/>
                <w:szCs w:val="24"/>
              </w:rPr>
            </w:pPr>
          </w:p>
          <w:p>
            <w:pPr>
              <w:pStyle w:val="style179"/>
              <w:spacing w:lineRule="auto" w:line="240"/>
              <w:ind w:left="0"/>
              <w:rPr>
                <w:rFonts w:cs="Times New Roman"/>
                <w:iCs/>
                <w:szCs w:val="24"/>
              </w:rPr>
            </w:pPr>
            <w:r>
              <w:rPr>
                <w:rFonts w:cs="Times New Roman"/>
                <w:iCs/>
                <w:szCs w:val="24"/>
              </w:rPr>
              <w:t>Good</w:t>
            </w:r>
          </w:p>
        </w:tc>
        <w:tc>
          <w:tcPr>
            <w:tcW w:w="714" w:type="pct"/>
            <w:tcBorders/>
          </w:tcPr>
          <w:p>
            <w:pPr>
              <w:pStyle w:val="style179"/>
              <w:spacing w:lineRule="auto" w:line="240"/>
              <w:ind w:left="0"/>
              <w:rPr>
                <w:rFonts w:cs="Times New Roman"/>
                <w:iCs/>
                <w:szCs w:val="24"/>
              </w:rPr>
            </w:pPr>
          </w:p>
          <w:p>
            <w:pPr>
              <w:pStyle w:val="style179"/>
              <w:spacing w:lineRule="auto" w:line="240"/>
              <w:ind w:left="0"/>
              <w:rPr>
                <w:rFonts w:cs="Times New Roman"/>
                <w:iCs/>
                <w:szCs w:val="24"/>
              </w:rPr>
            </w:pPr>
            <w:r>
              <w:rPr>
                <w:rFonts w:cs="Times New Roman"/>
                <w:iCs/>
                <w:szCs w:val="24"/>
              </w:rPr>
              <w:t>Very good</w:t>
            </w:r>
          </w:p>
        </w:tc>
      </w:tr>
      <w:tr>
        <w:tblPrEx/>
        <w:trPr>
          <w:trHeight w:val="20" w:hRule="atLeast"/>
        </w:trPr>
        <w:tc>
          <w:tcPr>
            <w:tcW w:w="1893" w:type="pct"/>
            <w:tcBorders/>
            <w:vAlign w:val="center"/>
          </w:tcPr>
          <w:p>
            <w:pPr>
              <w:pStyle w:val="style179"/>
              <w:spacing w:lineRule="auto" w:line="240"/>
              <w:ind w:left="0"/>
              <w:jc w:val="left"/>
              <w:rPr>
                <w:rFonts w:cs="Times New Roman"/>
                <w:b/>
                <w:iCs/>
                <w:szCs w:val="24"/>
              </w:rPr>
            </w:pPr>
            <w:r>
              <w:rPr>
                <w:rFonts w:cs="Times New Roman"/>
                <w:szCs w:val="24"/>
              </w:rPr>
              <w:t xml:space="preserve">Mathematics </w:t>
            </w:r>
          </w:p>
        </w:tc>
        <w:tc>
          <w:tcPr>
            <w:tcW w:w="746" w:type="pct"/>
            <w:tcBorders/>
            <w:vAlign w:val="center"/>
          </w:tcPr>
          <w:p>
            <w:pPr>
              <w:pStyle w:val="style179"/>
              <w:spacing w:lineRule="auto" w:line="240"/>
              <w:ind w:left="0"/>
              <w:rPr>
                <w:rFonts w:cs="Times New Roman"/>
                <w:b/>
                <w:iCs/>
                <w:szCs w:val="24"/>
              </w:rPr>
            </w:pPr>
          </w:p>
        </w:tc>
        <w:tc>
          <w:tcPr>
            <w:tcW w:w="584" w:type="pct"/>
            <w:tcBorders/>
            <w:vAlign w:val="center"/>
          </w:tcPr>
          <w:p>
            <w:pPr>
              <w:pStyle w:val="style179"/>
              <w:spacing w:lineRule="auto" w:line="240"/>
              <w:ind w:left="0"/>
              <w:rPr>
                <w:rFonts w:cs="Times New Roman"/>
                <w:b/>
                <w:iCs/>
                <w:szCs w:val="24"/>
              </w:rPr>
            </w:pPr>
          </w:p>
        </w:tc>
        <w:tc>
          <w:tcPr>
            <w:tcW w:w="606" w:type="pct"/>
            <w:tcBorders/>
            <w:vAlign w:val="center"/>
          </w:tcPr>
          <w:p>
            <w:pPr>
              <w:pStyle w:val="style179"/>
              <w:spacing w:lineRule="auto" w:line="240"/>
              <w:ind w:left="0"/>
              <w:rPr>
                <w:rFonts w:cs="Times New Roman"/>
                <w:b/>
                <w:iCs/>
                <w:szCs w:val="24"/>
              </w:rPr>
            </w:pPr>
          </w:p>
        </w:tc>
        <w:tc>
          <w:tcPr>
            <w:tcW w:w="457" w:type="pct"/>
            <w:tcBorders/>
          </w:tcPr>
          <w:p>
            <w:pPr>
              <w:pStyle w:val="style179"/>
              <w:spacing w:lineRule="auto" w:line="240"/>
              <w:ind w:left="0"/>
              <w:rPr>
                <w:rFonts w:cs="Times New Roman"/>
                <w:b/>
                <w:iCs/>
                <w:szCs w:val="24"/>
              </w:rPr>
            </w:pPr>
          </w:p>
        </w:tc>
        <w:tc>
          <w:tcPr>
            <w:tcW w:w="714" w:type="pct"/>
            <w:tcBorders/>
          </w:tcPr>
          <w:p>
            <w:pPr>
              <w:pStyle w:val="style179"/>
              <w:spacing w:lineRule="auto" w:line="240"/>
              <w:ind w:left="0"/>
              <w:rPr>
                <w:rFonts w:cs="Times New Roman"/>
                <w:b/>
                <w:iCs/>
                <w:szCs w:val="24"/>
              </w:rPr>
            </w:pPr>
          </w:p>
        </w:tc>
      </w:tr>
      <w:tr>
        <w:tblPrEx/>
        <w:trPr>
          <w:trHeight w:val="20" w:hRule="atLeast"/>
        </w:trPr>
        <w:tc>
          <w:tcPr>
            <w:tcW w:w="1893" w:type="pct"/>
            <w:tcBorders/>
            <w:vAlign w:val="center"/>
          </w:tcPr>
          <w:p>
            <w:pPr>
              <w:pStyle w:val="style179"/>
              <w:spacing w:lineRule="auto" w:line="240"/>
              <w:ind w:left="0"/>
              <w:rPr>
                <w:rFonts w:cs="Times New Roman"/>
                <w:b/>
                <w:iCs/>
                <w:szCs w:val="24"/>
              </w:rPr>
            </w:pPr>
            <w:r>
              <w:rPr>
                <w:rFonts w:cs="Times New Roman"/>
                <w:szCs w:val="24"/>
              </w:rPr>
              <w:t>Languages.</w:t>
            </w:r>
          </w:p>
        </w:tc>
        <w:tc>
          <w:tcPr>
            <w:tcW w:w="746" w:type="pct"/>
            <w:tcBorders/>
            <w:vAlign w:val="center"/>
          </w:tcPr>
          <w:p>
            <w:pPr>
              <w:pStyle w:val="style179"/>
              <w:spacing w:lineRule="auto" w:line="240"/>
              <w:ind w:left="0"/>
              <w:rPr>
                <w:rFonts w:cs="Times New Roman"/>
                <w:b/>
                <w:iCs/>
                <w:szCs w:val="24"/>
              </w:rPr>
            </w:pPr>
          </w:p>
        </w:tc>
        <w:tc>
          <w:tcPr>
            <w:tcW w:w="584" w:type="pct"/>
            <w:tcBorders/>
            <w:vAlign w:val="center"/>
          </w:tcPr>
          <w:p>
            <w:pPr>
              <w:pStyle w:val="style179"/>
              <w:spacing w:lineRule="auto" w:line="240"/>
              <w:ind w:left="0"/>
              <w:rPr>
                <w:rFonts w:cs="Times New Roman"/>
                <w:b/>
                <w:iCs/>
                <w:szCs w:val="24"/>
              </w:rPr>
            </w:pPr>
          </w:p>
        </w:tc>
        <w:tc>
          <w:tcPr>
            <w:tcW w:w="606" w:type="pct"/>
            <w:tcBorders/>
            <w:vAlign w:val="center"/>
          </w:tcPr>
          <w:p>
            <w:pPr>
              <w:pStyle w:val="style179"/>
              <w:spacing w:lineRule="auto" w:line="240"/>
              <w:ind w:left="0"/>
              <w:rPr>
                <w:rFonts w:cs="Times New Roman"/>
                <w:b/>
                <w:iCs/>
                <w:szCs w:val="24"/>
              </w:rPr>
            </w:pPr>
          </w:p>
        </w:tc>
        <w:tc>
          <w:tcPr>
            <w:tcW w:w="457" w:type="pct"/>
            <w:tcBorders/>
          </w:tcPr>
          <w:p>
            <w:pPr>
              <w:pStyle w:val="style179"/>
              <w:spacing w:lineRule="auto" w:line="240"/>
              <w:ind w:left="0"/>
              <w:rPr>
                <w:rFonts w:cs="Times New Roman"/>
                <w:b/>
                <w:iCs/>
                <w:szCs w:val="24"/>
              </w:rPr>
            </w:pPr>
          </w:p>
        </w:tc>
        <w:tc>
          <w:tcPr>
            <w:tcW w:w="714" w:type="pct"/>
            <w:tcBorders/>
          </w:tcPr>
          <w:p>
            <w:pPr>
              <w:pStyle w:val="style179"/>
              <w:spacing w:lineRule="auto" w:line="240"/>
              <w:ind w:left="0"/>
              <w:rPr>
                <w:rFonts w:cs="Times New Roman"/>
                <w:b/>
                <w:iCs/>
                <w:szCs w:val="24"/>
              </w:rPr>
            </w:pPr>
          </w:p>
        </w:tc>
      </w:tr>
      <w:tr>
        <w:tblPrEx/>
        <w:trPr>
          <w:trHeight w:val="20" w:hRule="atLeast"/>
        </w:trPr>
        <w:tc>
          <w:tcPr>
            <w:tcW w:w="1893" w:type="pct"/>
            <w:tcBorders/>
            <w:vAlign w:val="center"/>
          </w:tcPr>
          <w:p>
            <w:pPr>
              <w:pStyle w:val="style0"/>
              <w:spacing w:lineRule="auto" w:line="240"/>
              <w:rPr>
                <w:rFonts w:cs="Times New Roman"/>
                <w:iCs/>
                <w:szCs w:val="24"/>
              </w:rPr>
            </w:pPr>
            <w:r>
              <w:rPr>
                <w:rFonts w:cs="Times New Roman"/>
                <w:szCs w:val="24"/>
              </w:rPr>
              <w:t>Sciences.</w:t>
            </w:r>
          </w:p>
        </w:tc>
        <w:tc>
          <w:tcPr>
            <w:tcW w:w="746" w:type="pct"/>
            <w:tcBorders/>
            <w:vAlign w:val="center"/>
          </w:tcPr>
          <w:p>
            <w:pPr>
              <w:pStyle w:val="style179"/>
              <w:spacing w:lineRule="auto" w:line="240"/>
              <w:ind w:left="0"/>
              <w:rPr>
                <w:rFonts w:cs="Times New Roman"/>
                <w:b/>
                <w:iCs/>
                <w:szCs w:val="24"/>
              </w:rPr>
            </w:pPr>
          </w:p>
        </w:tc>
        <w:tc>
          <w:tcPr>
            <w:tcW w:w="584" w:type="pct"/>
            <w:tcBorders/>
            <w:vAlign w:val="center"/>
          </w:tcPr>
          <w:p>
            <w:pPr>
              <w:pStyle w:val="style179"/>
              <w:spacing w:lineRule="auto" w:line="240"/>
              <w:ind w:left="0"/>
              <w:rPr>
                <w:rFonts w:cs="Times New Roman"/>
                <w:b/>
                <w:iCs/>
                <w:szCs w:val="24"/>
              </w:rPr>
            </w:pPr>
          </w:p>
        </w:tc>
        <w:tc>
          <w:tcPr>
            <w:tcW w:w="606" w:type="pct"/>
            <w:tcBorders/>
            <w:vAlign w:val="center"/>
          </w:tcPr>
          <w:p>
            <w:pPr>
              <w:pStyle w:val="style179"/>
              <w:spacing w:lineRule="auto" w:line="240"/>
              <w:ind w:left="0"/>
              <w:rPr>
                <w:rFonts w:cs="Times New Roman"/>
                <w:b/>
                <w:iCs/>
                <w:szCs w:val="24"/>
              </w:rPr>
            </w:pPr>
          </w:p>
        </w:tc>
        <w:tc>
          <w:tcPr>
            <w:tcW w:w="457" w:type="pct"/>
            <w:tcBorders/>
          </w:tcPr>
          <w:p>
            <w:pPr>
              <w:pStyle w:val="style179"/>
              <w:spacing w:lineRule="auto" w:line="240"/>
              <w:ind w:left="0"/>
              <w:rPr>
                <w:rFonts w:cs="Times New Roman"/>
                <w:b/>
                <w:iCs/>
                <w:szCs w:val="24"/>
              </w:rPr>
            </w:pPr>
          </w:p>
        </w:tc>
        <w:tc>
          <w:tcPr>
            <w:tcW w:w="714" w:type="pct"/>
            <w:tcBorders/>
          </w:tcPr>
          <w:p>
            <w:pPr>
              <w:pStyle w:val="style179"/>
              <w:spacing w:lineRule="auto" w:line="240"/>
              <w:ind w:left="0"/>
              <w:rPr>
                <w:rFonts w:cs="Times New Roman"/>
                <w:b/>
                <w:iCs/>
                <w:szCs w:val="24"/>
              </w:rPr>
            </w:pPr>
          </w:p>
        </w:tc>
      </w:tr>
      <w:tr>
        <w:tblPrEx/>
        <w:trPr>
          <w:trHeight w:val="20" w:hRule="atLeast"/>
        </w:trPr>
        <w:tc>
          <w:tcPr>
            <w:tcW w:w="1893" w:type="pct"/>
            <w:tcBorders/>
            <w:vAlign w:val="center"/>
          </w:tcPr>
          <w:p>
            <w:pPr>
              <w:pStyle w:val="style0"/>
              <w:spacing w:lineRule="auto" w:line="240"/>
              <w:jc w:val="left"/>
              <w:rPr>
                <w:rFonts w:cs="Times New Roman"/>
                <w:szCs w:val="24"/>
              </w:rPr>
            </w:pPr>
            <w:r>
              <w:rPr>
                <w:rFonts w:cs="Times New Roman"/>
                <w:szCs w:val="24"/>
              </w:rPr>
              <w:t>Social sciences.</w:t>
            </w:r>
          </w:p>
        </w:tc>
        <w:tc>
          <w:tcPr>
            <w:tcW w:w="746" w:type="pct"/>
            <w:tcBorders/>
            <w:vAlign w:val="center"/>
          </w:tcPr>
          <w:p>
            <w:pPr>
              <w:pStyle w:val="style179"/>
              <w:spacing w:lineRule="auto" w:line="240"/>
              <w:ind w:left="0"/>
              <w:rPr>
                <w:rFonts w:cs="Times New Roman"/>
                <w:b/>
                <w:iCs/>
                <w:szCs w:val="24"/>
              </w:rPr>
            </w:pPr>
          </w:p>
        </w:tc>
        <w:tc>
          <w:tcPr>
            <w:tcW w:w="584" w:type="pct"/>
            <w:tcBorders/>
            <w:vAlign w:val="center"/>
          </w:tcPr>
          <w:p>
            <w:pPr>
              <w:pStyle w:val="style179"/>
              <w:spacing w:lineRule="auto" w:line="240"/>
              <w:ind w:left="0"/>
              <w:rPr>
                <w:rFonts w:cs="Times New Roman"/>
                <w:b/>
                <w:iCs/>
                <w:szCs w:val="24"/>
              </w:rPr>
            </w:pPr>
          </w:p>
        </w:tc>
        <w:tc>
          <w:tcPr>
            <w:tcW w:w="606" w:type="pct"/>
            <w:tcBorders/>
            <w:vAlign w:val="center"/>
          </w:tcPr>
          <w:p>
            <w:pPr>
              <w:pStyle w:val="style179"/>
              <w:spacing w:lineRule="auto" w:line="240"/>
              <w:ind w:left="0"/>
              <w:rPr>
                <w:rFonts w:cs="Times New Roman"/>
                <w:b/>
                <w:iCs/>
                <w:szCs w:val="24"/>
              </w:rPr>
            </w:pPr>
          </w:p>
        </w:tc>
        <w:tc>
          <w:tcPr>
            <w:tcW w:w="457" w:type="pct"/>
            <w:tcBorders/>
          </w:tcPr>
          <w:p>
            <w:pPr>
              <w:pStyle w:val="style179"/>
              <w:spacing w:lineRule="auto" w:line="240"/>
              <w:ind w:left="0"/>
              <w:rPr>
                <w:rFonts w:cs="Times New Roman"/>
                <w:b/>
                <w:iCs/>
                <w:szCs w:val="24"/>
              </w:rPr>
            </w:pPr>
          </w:p>
        </w:tc>
        <w:tc>
          <w:tcPr>
            <w:tcW w:w="714" w:type="pct"/>
            <w:tcBorders/>
          </w:tcPr>
          <w:p>
            <w:pPr>
              <w:pStyle w:val="style179"/>
              <w:spacing w:lineRule="auto" w:line="240"/>
              <w:ind w:left="0"/>
              <w:rPr>
                <w:rFonts w:cs="Times New Roman"/>
                <w:b/>
                <w:iCs/>
                <w:szCs w:val="24"/>
              </w:rPr>
            </w:pPr>
          </w:p>
        </w:tc>
      </w:tr>
    </w:tbl>
    <w:p>
      <w:pPr>
        <w:pStyle w:val="style0"/>
        <w:rPr>
          <w:rFonts w:cs="Times New Roman"/>
          <w:szCs w:val="24"/>
        </w:rPr>
      </w:pPr>
    </w:p>
    <w:p>
      <w:pPr>
        <w:pStyle w:val="style0"/>
        <w:rPr>
          <w:rFonts w:cs="Times New Roman"/>
          <w:szCs w:val="24"/>
        </w:rPr>
      </w:pPr>
    </w:p>
    <w:p>
      <w:pPr>
        <w:pStyle w:val="style0"/>
        <w:rPr>
          <w:rFonts w:cs="Times New Roman"/>
          <w:szCs w:val="24"/>
        </w:rPr>
      </w:pPr>
    </w:p>
    <w:bookmarkStart w:id="253" w:name="_Toc143797181"/>
    <w:bookmarkStart w:id="254" w:name="_Toc144196165"/>
    <w:bookmarkStart w:id="255" w:name="_Toc144197271"/>
    <w:bookmarkStart w:id="256" w:name="_Toc144197408"/>
    <w:bookmarkStart w:id="257" w:name="_Toc144283224"/>
    <w:p>
      <w:pPr>
        <w:pStyle w:val="style2"/>
        <w:rPr/>
      </w:pPr>
      <w:r>
        <w:t>Appendix III: Focus Group Discussion for Pupils</w:t>
      </w:r>
      <w:bookmarkEnd w:id="252"/>
      <w:bookmarkEnd w:id="253"/>
      <w:bookmarkEnd w:id="254"/>
      <w:bookmarkEnd w:id="255"/>
      <w:bookmarkEnd w:id="256"/>
      <w:bookmarkEnd w:id="257"/>
    </w:p>
    <w:p>
      <w:pPr>
        <w:pStyle w:val="style0"/>
        <w:rPr/>
      </w:pPr>
      <w:r>
        <w:rPr>
          <w:noProof/>
        </w:rPr>
        <mc:AlternateContent>
          <mc:Choice Requires="wps">
            <w:drawing>
              <wp:anchor distT="0" distB="0" distL="0" distR="0" simplePos="false" relativeHeight="5" behindDoc="false" locked="false" layoutInCell="true" allowOverlap="true">
                <wp:simplePos x="0" y="0"/>
                <wp:positionH relativeFrom="column">
                  <wp:posOffset>1438275</wp:posOffset>
                </wp:positionH>
                <wp:positionV relativeFrom="paragraph">
                  <wp:posOffset>127634</wp:posOffset>
                </wp:positionV>
                <wp:extent cx="352425" cy="0"/>
                <wp:effectExtent l="0" t="0" r="3175" b="0"/>
                <wp:wrapNone/>
                <wp:docPr id="1043" name="Straight Connector 2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352425" cy="0"/>
                        </a:xfrm>
                        <a:prstGeom prst="line"/>
                        <a:ln cmpd="sng" cap="flat" w="9525">
                          <a:solidFill>
                            <a:srgbClr val="000000"/>
                          </a:solidFill>
                          <a:prstDash val="solid"/>
                          <a:round/>
                          <a:headEnd/>
                          <a:tailEnd/>
                        </a:ln>
                      </wps:spPr>
                      <wps:bodyPr>
                        <a:prstTxWarp prst="textNoShape"/>
                      </wps:bodyPr>
                    </wps:wsp>
                  </a:graphicData>
                </a:graphic>
                <wp14:sizeRelH relativeFrom="margin">
                  <wp14:pctWidth>0</wp14:pctWidth>
                </wp14:sizeRelH>
                <wp14:sizeRelV relativeFrom="page">
                  <wp14:pctHeight>0</wp14:pctHeight>
                </wp14:sizeRelV>
              </wp:anchor>
            </w:drawing>
          </mc:Choice>
          <mc:Fallback>
            <w:pict>
              <v:line id="1043" filled="f" stroked="t" from="113.25pt,10.049922pt" to="141.0pt,10.049922pt" style="position:absolute;z-index:5;mso-position-horizontal-relative:text;mso-position-vertical-relative:text;mso-width-percent:0;mso-height-percent:0;mso-width-relative:margin;mso-height-relative:page;mso-wrap-distance-left:0.0pt;mso-wrap-distance-right:0.0pt;visibility:visible;">
                <v:fill/>
              </v:line>
            </w:pict>
          </mc:Fallback>
        </mc:AlternateContent>
      </w:r>
      <w:r>
        <w:t xml:space="preserve">NUMBER OF </w:t>
      </w:r>
      <w:r>
        <w:t>PUPILS</w:t>
      </w:r>
    </w:p>
    <w:p>
      <w:pPr>
        <w:pStyle w:val="style0"/>
        <w:rPr>
          <w:b/>
        </w:rPr>
      </w:pPr>
      <w:r>
        <w:rPr>
          <w:noProof/>
        </w:rPr>
        <mc:AlternateContent>
          <mc:Choice Requires="wps">
            <w:drawing>
              <wp:anchor distT="0" distB="0" distL="0" distR="0" simplePos="false" relativeHeight="4" behindDoc="false" locked="false" layoutInCell="true" allowOverlap="true">
                <wp:simplePos x="0" y="0"/>
                <wp:positionH relativeFrom="column">
                  <wp:posOffset>1209675</wp:posOffset>
                </wp:positionH>
                <wp:positionV relativeFrom="paragraph">
                  <wp:posOffset>129539</wp:posOffset>
                </wp:positionV>
                <wp:extent cx="352425" cy="0"/>
                <wp:effectExtent l="0" t="0" r="3175" b="0"/>
                <wp:wrapNone/>
                <wp:docPr id="1044" name="Straight Connector 2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352425" cy="0"/>
                        </a:xfrm>
                        <a:prstGeom prst="line"/>
                        <a:ln cmpd="sng" cap="flat" w="9525">
                          <a:solidFill>
                            <a:srgbClr val="000000"/>
                          </a:solidFill>
                          <a:prstDash val="solid"/>
                          <a:round/>
                          <a:headEnd/>
                          <a:tailEnd/>
                        </a:ln>
                      </wps:spPr>
                      <wps:bodyPr>
                        <a:prstTxWarp prst="textNoShape"/>
                      </wps:bodyPr>
                    </wps:wsp>
                  </a:graphicData>
                </a:graphic>
                <wp14:sizeRelH relativeFrom="margin">
                  <wp14:pctWidth>0</wp14:pctWidth>
                </wp14:sizeRelH>
                <wp14:sizeRelV relativeFrom="page">
                  <wp14:pctHeight>0</wp14:pctHeight>
                </wp14:sizeRelV>
              </wp:anchor>
            </w:drawing>
          </mc:Choice>
          <mc:Fallback>
            <w:pict>
              <v:line id="1044" filled="f" stroked="t" from="95.25pt,10.199922pt" to="123.0pt,10.199922pt" style="position:absolute;z-index:4;mso-position-horizontal-relative:text;mso-position-vertical-relative:text;mso-width-percent:0;mso-height-percent:0;mso-width-relative:margin;mso-height-relative:page;mso-wrap-distance-left:0.0pt;mso-wrap-distance-right:0.0pt;visibility:visible;">
                <v:fill/>
              </v:line>
            </w:pict>
          </mc:Fallback>
        </mc:AlternateContent>
      </w:r>
      <w:r>
        <w:t>A</w:t>
      </w:r>
      <w:r>
        <w:t>VERAGE AGE</w:t>
      </w:r>
    </w:p>
    <w:p>
      <w:pPr>
        <w:pStyle w:val="style0"/>
        <w:rPr>
          <w:b/>
        </w:rPr>
      </w:pPr>
      <w:r>
        <w:rPr>
          <w:noProof/>
        </w:rPr>
        <mc:AlternateContent>
          <mc:Choice Requires="wps">
            <w:drawing>
              <wp:anchor distT="0" distB="0" distL="0" distR="0" simplePos="false" relativeHeight="3" behindDoc="false" locked="false" layoutInCell="true" allowOverlap="true">
                <wp:simplePos x="0" y="0"/>
                <wp:positionH relativeFrom="column">
                  <wp:posOffset>1028700</wp:posOffset>
                </wp:positionH>
                <wp:positionV relativeFrom="paragraph">
                  <wp:posOffset>140969</wp:posOffset>
                </wp:positionV>
                <wp:extent cx="352425" cy="0"/>
                <wp:effectExtent l="0" t="0" r="3175" b="0"/>
                <wp:wrapNone/>
                <wp:docPr id="1045" name="Straight Connector 2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352425" cy="0"/>
                        </a:xfrm>
                        <a:prstGeom prst="line"/>
                        <a:ln cmpd="sng" cap="flat" w="9525">
                          <a:solidFill>
                            <a:srgbClr val="000000"/>
                          </a:solidFill>
                          <a:prstDash val="solid"/>
                          <a:round/>
                          <a:headEnd/>
                          <a:tailEnd/>
                        </a:ln>
                      </wps:spPr>
                      <wps:bodyPr>
                        <a:prstTxWarp prst="textNoShape"/>
                      </wps:bodyPr>
                    </wps:wsp>
                  </a:graphicData>
                </a:graphic>
                <wp14:sizeRelH relativeFrom="margin">
                  <wp14:pctWidth>0</wp14:pctWidth>
                </wp14:sizeRelH>
                <wp14:sizeRelV relativeFrom="page">
                  <wp14:pctHeight>0</wp14:pctHeight>
                </wp14:sizeRelV>
              </wp:anchor>
            </w:drawing>
          </mc:Choice>
          <mc:Fallback>
            <w:pict>
              <v:line id="1045" filled="f" stroked="t" from="81.0pt,11.09992pt" to="108.75pt,11.09992pt" style="position:absolute;z-index:3;mso-position-horizontal-relative:text;mso-position-vertical-relative:text;mso-width-percent:0;mso-height-percent:0;mso-width-relative:margin;mso-height-relative:page;mso-wrap-distance-left:0.0pt;mso-wrap-distance-right:0.0pt;visibility:visible;">
                <v:fill/>
              </v:line>
            </w:pict>
          </mc:Fallback>
        </mc:AlternateContent>
      </w:r>
      <w:r>
        <w:t>NO OF MALES</w:t>
      </w:r>
    </w:p>
    <w:p>
      <w:pPr>
        <w:pStyle w:val="style0"/>
        <w:rPr>
          <w:b/>
        </w:rPr>
      </w:pPr>
      <w:r>
        <w:rPr>
          <w:noProof/>
        </w:rPr>
        <mc:AlternateContent>
          <mc:Choice Requires="wps">
            <w:drawing>
              <wp:anchor distT="0" distB="0" distL="0" distR="0" simplePos="false" relativeHeight="2" behindDoc="false" locked="false" layoutInCell="true" allowOverlap="true">
                <wp:simplePos x="0" y="0"/>
                <wp:positionH relativeFrom="column">
                  <wp:posOffset>1209675</wp:posOffset>
                </wp:positionH>
                <wp:positionV relativeFrom="paragraph">
                  <wp:posOffset>133349</wp:posOffset>
                </wp:positionV>
                <wp:extent cx="352425" cy="0"/>
                <wp:effectExtent l="0" t="0" r="3175" b="0"/>
                <wp:wrapNone/>
                <wp:docPr id="1046" name="Straight Connector 2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352425" cy="0"/>
                        </a:xfrm>
                        <a:prstGeom prst="line"/>
                        <a:ln cmpd="sng" cap="flat" w="9525">
                          <a:solidFill>
                            <a:srgbClr val="000000"/>
                          </a:solidFill>
                          <a:prstDash val="solid"/>
                          <a:round/>
                          <a:headEnd/>
                          <a:tailEnd/>
                        </a:ln>
                      </wps:spPr>
                      <wps:bodyPr>
                        <a:prstTxWarp prst="textNoShape"/>
                      </wps:bodyPr>
                    </wps:wsp>
                  </a:graphicData>
                </a:graphic>
                <wp14:sizeRelH relativeFrom="margin">
                  <wp14:pctWidth>0</wp14:pctWidth>
                </wp14:sizeRelH>
                <wp14:sizeRelV relativeFrom="page">
                  <wp14:pctHeight>0</wp14:pctHeight>
                </wp14:sizeRelV>
              </wp:anchor>
            </w:drawing>
          </mc:Choice>
          <mc:Fallback>
            <w:pict>
              <v:line id="1046" filled="f" stroked="t" from="95.25pt,10.499922pt" to="123.0pt,10.499922pt" style="position:absolute;z-index:2;mso-position-horizontal-relative:text;mso-position-vertical-relative:text;mso-width-percent:0;mso-height-percent:0;mso-width-relative:margin;mso-height-relative:page;mso-wrap-distance-left:0.0pt;mso-wrap-distance-right:0.0pt;visibility:visible;">
                <v:fill/>
              </v:line>
            </w:pict>
          </mc:Fallback>
        </mc:AlternateContent>
      </w:r>
      <w:r>
        <w:t>NO OF FEMALES</w:t>
      </w:r>
    </w:p>
    <w:p>
      <w:pPr>
        <w:pStyle w:val="style0"/>
        <w:rPr/>
      </w:pPr>
      <w:r>
        <w:rPr>
          <w:noProof/>
        </w:rPr>
        <mc:AlternateContent>
          <mc:Choice Requires="wps">
            <w:drawing>
              <wp:anchor distT="0" distB="0" distL="0" distR="0" simplePos="false" relativeHeight="6" behindDoc="false" locked="false" layoutInCell="true" allowOverlap="true">
                <wp:simplePos x="0" y="0"/>
                <wp:positionH relativeFrom="column">
                  <wp:posOffset>352425</wp:posOffset>
                </wp:positionH>
                <wp:positionV relativeFrom="paragraph">
                  <wp:posOffset>125728</wp:posOffset>
                </wp:positionV>
                <wp:extent cx="352425" cy="0"/>
                <wp:effectExtent l="0" t="0" r="3175" b="0"/>
                <wp:wrapNone/>
                <wp:docPr id="1047" name="Straight Connector 2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352425" cy="0"/>
                        </a:xfrm>
                        <a:prstGeom prst="line"/>
                        <a:ln cmpd="sng" cap="flat" w="9525">
                          <a:solidFill>
                            <a:srgbClr val="000000"/>
                          </a:solidFill>
                          <a:prstDash val="solid"/>
                          <a:round/>
                          <a:headEnd/>
                          <a:tailEnd/>
                        </a:ln>
                      </wps:spPr>
                      <wps:bodyPr>
                        <a:prstTxWarp prst="textNoShape"/>
                      </wps:bodyPr>
                    </wps:wsp>
                  </a:graphicData>
                </a:graphic>
                <wp14:sizeRelH relativeFrom="margin">
                  <wp14:pctWidth>0</wp14:pctWidth>
                </wp14:sizeRelH>
                <wp14:sizeRelV relativeFrom="page">
                  <wp14:pctHeight>0</wp14:pctHeight>
                </wp14:sizeRelV>
              </wp:anchor>
            </w:drawing>
          </mc:Choice>
          <mc:Fallback>
            <w:pict>
              <v:line id="1047" filled="f" stroked="t" from="27.75pt,9.89992pt" to="55.5pt,9.89992pt" style="position:absolute;z-index:6;mso-position-horizontal-relative:text;mso-position-vertical-relative:text;mso-width-percent:0;mso-height-percent:0;mso-width-relative:margin;mso-height-relative:page;mso-wrap-distance-left:0.0pt;mso-wrap-distance-right:0.0pt;visibility:visible;">
                <v:fill/>
              </v:line>
            </w:pict>
          </mc:Fallback>
        </mc:AlternateContent>
      </w:r>
      <w:r>
        <w:t>TIME</w:t>
      </w:r>
    </w:p>
    <w:p>
      <w:pPr>
        <w:pStyle w:val="style179"/>
        <w:numPr>
          <w:ilvl w:val="0"/>
          <w:numId w:val="15"/>
        </w:numPr>
        <w:rPr/>
      </w:pPr>
      <w:r>
        <w:t xml:space="preserve">How many are you in your </w:t>
      </w:r>
      <w:r>
        <w:t>household</w:t>
      </w:r>
      <w:r>
        <w:t>?</w:t>
      </w:r>
    </w:p>
    <w:p>
      <w:pPr>
        <w:pStyle w:val="style179"/>
        <w:numPr>
          <w:ilvl w:val="0"/>
          <w:numId w:val="15"/>
        </w:numPr>
        <w:rPr/>
      </w:pPr>
      <w:r>
        <w:t xml:space="preserve">How does </w:t>
      </w:r>
      <w:r>
        <w:t xml:space="preserve">your family size </w:t>
      </w:r>
      <w:r>
        <w:t xml:space="preserve">affect your </w:t>
      </w:r>
      <w:r>
        <w:t>academic achievement</w:t>
      </w:r>
      <w:r>
        <w:t xml:space="preserve">? </w:t>
      </w:r>
    </w:p>
    <w:p>
      <w:pPr>
        <w:pStyle w:val="style179"/>
        <w:numPr>
          <w:ilvl w:val="0"/>
          <w:numId w:val="15"/>
        </w:numPr>
        <w:rPr/>
      </w:pPr>
      <w:r>
        <w:t>How is your parents’/guardian’s attention divided among you and siblings?</w:t>
      </w:r>
    </w:p>
    <w:p>
      <w:pPr>
        <w:pStyle w:val="style179"/>
        <w:numPr>
          <w:ilvl w:val="0"/>
          <w:numId w:val="15"/>
        </w:numPr>
        <w:rPr/>
      </w:pPr>
      <w:r>
        <w:t>Does your</w:t>
      </w:r>
      <w:r>
        <w:t xml:space="preserve"> parent/guardian look at your schoolwork and those of your siblings?</w:t>
      </w:r>
    </w:p>
    <w:p>
      <w:pPr>
        <w:pStyle w:val="style179"/>
        <w:numPr>
          <w:ilvl w:val="0"/>
          <w:numId w:val="15"/>
        </w:numPr>
        <w:rPr/>
      </w:pPr>
      <w:r>
        <w:t>How does the family income influence your learning?</w:t>
      </w:r>
    </w:p>
    <w:p>
      <w:pPr>
        <w:pStyle w:val="style179"/>
        <w:numPr>
          <w:ilvl w:val="0"/>
          <w:numId w:val="15"/>
        </w:numPr>
        <w:rPr/>
      </w:pPr>
      <w:r>
        <w:t xml:space="preserve">How does the education level of your parents influence your learning? </w:t>
      </w:r>
    </w:p>
    <w:p>
      <w:pPr>
        <w:pStyle w:val="style179"/>
        <w:numPr>
          <w:ilvl w:val="0"/>
          <w:numId w:val="15"/>
        </w:numPr>
        <w:rPr/>
      </w:pPr>
      <w:r>
        <w:t xml:space="preserve">How have you been academically performing in the last three academic terms? </w:t>
      </w:r>
    </w:p>
    <w:p>
      <w:pPr>
        <w:pStyle w:val="style0"/>
        <w:rPr>
          <w:rFonts w:cs="Times New Roman"/>
          <w:szCs w:val="24"/>
        </w:rPr>
      </w:pPr>
    </w:p>
    <w:p>
      <w:pPr>
        <w:pStyle w:val="style0"/>
        <w:rPr>
          <w:rFonts w:cs="Times New Roman"/>
          <w:szCs w:val="24"/>
        </w:rPr>
      </w:pPr>
    </w:p>
    <w:p>
      <w:pPr>
        <w:pStyle w:val="style0"/>
        <w:tabs>
          <w:tab w:val="left" w:leader="none" w:pos="1530"/>
        </w:tabs>
        <w:rPr>
          <w:rFonts w:cs="Times New Roman"/>
          <w:szCs w:val="24"/>
        </w:rPr>
      </w:pPr>
      <w:r>
        <w:rPr>
          <w:rFonts w:cs="Times New Roman"/>
          <w:szCs w:val="24"/>
        </w:rPr>
        <w:tab/>
      </w:r>
    </w:p>
    <w:p>
      <w:pPr>
        <w:pStyle w:val="style0"/>
        <w:tabs>
          <w:tab w:val="left" w:leader="none" w:pos="1530"/>
        </w:tabs>
        <w:rPr>
          <w:rFonts w:cs="Times New Roman"/>
          <w:szCs w:val="24"/>
        </w:rPr>
      </w:pPr>
    </w:p>
    <w:p>
      <w:pPr>
        <w:pStyle w:val="style0"/>
        <w:tabs>
          <w:tab w:val="left" w:leader="none" w:pos="1530"/>
        </w:tabs>
        <w:rPr>
          <w:rFonts w:cs="Times New Roman"/>
          <w:szCs w:val="24"/>
        </w:rPr>
      </w:pPr>
    </w:p>
    <w:p>
      <w:pPr>
        <w:pStyle w:val="style0"/>
        <w:tabs>
          <w:tab w:val="left" w:leader="none" w:pos="1530"/>
        </w:tabs>
        <w:rPr>
          <w:rFonts w:cs="Times New Roman"/>
          <w:szCs w:val="24"/>
        </w:rPr>
      </w:pPr>
    </w:p>
    <w:p>
      <w:pPr>
        <w:pStyle w:val="style0"/>
        <w:tabs>
          <w:tab w:val="left" w:leader="none" w:pos="1530"/>
        </w:tabs>
        <w:rPr>
          <w:rFonts w:cs="Times New Roman"/>
          <w:szCs w:val="24"/>
        </w:rPr>
      </w:pPr>
    </w:p>
    <w:p>
      <w:pPr>
        <w:pStyle w:val="style0"/>
        <w:tabs>
          <w:tab w:val="left" w:leader="none" w:pos="1530"/>
        </w:tabs>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bookmarkStart w:id="258" w:name="_Toc41738427"/>
    <w:bookmarkStart w:id="259" w:name="_Toc143797182"/>
    <w:bookmarkStart w:id="260" w:name="_Toc144196166"/>
    <w:bookmarkStart w:id="261" w:name="_Toc144197272"/>
    <w:bookmarkStart w:id="262" w:name="_Toc144197409"/>
    <w:bookmarkStart w:id="263" w:name="_Toc144283225"/>
    <w:p>
      <w:pPr>
        <w:pStyle w:val="style2"/>
        <w:rPr/>
      </w:pPr>
      <w:r>
        <w:t>Appendix IV: Questionnaire for Class Teachers</w:t>
      </w:r>
      <w:bookmarkEnd w:id="258"/>
      <w:bookmarkEnd w:id="259"/>
      <w:bookmarkEnd w:id="260"/>
      <w:bookmarkEnd w:id="261"/>
      <w:bookmarkEnd w:id="262"/>
      <w:bookmarkEnd w:id="263"/>
    </w:p>
    <w:p>
      <w:pPr>
        <w:pStyle w:val="style0"/>
        <w:rPr/>
      </w:pPr>
      <w:r>
        <w:t xml:space="preserve">Please fill in all the required information as precisely as possible and do not write your name. </w:t>
      </w:r>
    </w:p>
    <w:p>
      <w:pPr>
        <w:pStyle w:val="style0"/>
        <w:rPr>
          <w:rFonts w:cs="Times New Roman"/>
          <w:b/>
          <w:szCs w:val="24"/>
        </w:rPr>
      </w:pPr>
      <w:r>
        <w:rPr>
          <w:rFonts w:cs="Times New Roman"/>
          <w:b/>
          <w:szCs w:val="24"/>
        </w:rPr>
        <w:t xml:space="preserve">Section A: Demographic data for </w:t>
      </w:r>
      <w:r>
        <w:rPr>
          <w:rFonts w:cs="Times New Roman"/>
          <w:b/>
          <w:szCs w:val="24"/>
        </w:rPr>
        <w:t xml:space="preserve">class </w:t>
      </w:r>
      <w:r>
        <w:rPr>
          <w:rFonts w:cs="Times New Roman"/>
          <w:b/>
          <w:szCs w:val="24"/>
        </w:rPr>
        <w:t>Teachers</w:t>
      </w:r>
    </w:p>
    <w:p>
      <w:pPr>
        <w:pStyle w:val="style179"/>
        <w:numPr>
          <w:ilvl w:val="0"/>
          <w:numId w:val="13"/>
        </w:numPr>
        <w:rPr>
          <w:rFonts w:cs="Times New Roman"/>
          <w:szCs w:val="24"/>
        </w:rPr>
      </w:pPr>
      <w:r>
        <w:rPr>
          <w:rFonts w:cs="Times New Roman"/>
          <w:szCs w:val="24"/>
        </w:rPr>
        <w:t>Kindly indicate your gender</w:t>
      </w:r>
    </w:p>
    <w:p>
      <w:pPr>
        <w:pStyle w:val="style0"/>
        <w:numPr>
          <w:ilvl w:val="0"/>
          <w:numId w:val="9"/>
        </w:numPr>
        <w:rPr>
          <w:rFonts w:cs="Times New Roman"/>
          <w:szCs w:val="24"/>
        </w:rPr>
      </w:pPr>
      <w:r>
        <w:rPr>
          <w:rFonts w:cs="Times New Roman"/>
          <w:szCs w:val="24"/>
        </w:rPr>
        <w:t xml:space="preserve">Male             [  ]    </w:t>
      </w:r>
    </w:p>
    <w:p>
      <w:pPr>
        <w:pStyle w:val="style0"/>
        <w:numPr>
          <w:ilvl w:val="0"/>
          <w:numId w:val="9"/>
        </w:numPr>
        <w:rPr>
          <w:rFonts w:cs="Times New Roman"/>
          <w:szCs w:val="24"/>
        </w:rPr>
      </w:pPr>
      <w:r>
        <w:rPr>
          <w:rFonts w:cs="Times New Roman"/>
          <w:szCs w:val="24"/>
        </w:rPr>
        <w:t xml:space="preserve">Female         [  ]    </w:t>
      </w:r>
    </w:p>
    <w:p>
      <w:pPr>
        <w:pStyle w:val="style179"/>
        <w:numPr>
          <w:ilvl w:val="0"/>
          <w:numId w:val="13"/>
        </w:numPr>
        <w:rPr>
          <w:rFonts w:cs="Times New Roman"/>
          <w:szCs w:val="24"/>
        </w:rPr>
      </w:pPr>
      <w:r>
        <w:rPr>
          <w:rFonts w:cs="Times New Roman"/>
          <w:szCs w:val="24"/>
        </w:rPr>
        <w:t xml:space="preserve">Please indicate </w:t>
      </w:r>
      <w:r>
        <w:rPr>
          <w:rFonts w:cs="Times New Roman"/>
          <w:szCs w:val="24"/>
        </w:rPr>
        <w:t>your highest education level.</w:t>
      </w:r>
    </w:p>
    <w:p>
      <w:pPr>
        <w:pStyle w:val="style0"/>
        <w:ind w:left="720"/>
        <w:rPr>
          <w:rFonts w:cs="Times New Roman"/>
          <w:szCs w:val="24"/>
        </w:rPr>
      </w:pPr>
      <w:r>
        <w:rPr>
          <w:rFonts w:cs="Times New Roman"/>
          <w:szCs w:val="24"/>
        </w:rPr>
        <w:t>a) Certificate</w:t>
      </w:r>
      <w:r>
        <w:rPr>
          <w:rFonts w:cs="Times New Roman"/>
          <w:szCs w:val="24"/>
        </w:rPr>
        <w:tab/>
      </w:r>
      <w:r>
        <w:rPr>
          <w:rFonts w:cs="Times New Roman"/>
          <w:szCs w:val="24"/>
        </w:rPr>
        <w:tab/>
      </w:r>
      <w:r>
        <w:rPr>
          <w:rFonts w:cs="Times New Roman"/>
          <w:szCs w:val="24"/>
        </w:rPr>
        <w:t xml:space="preserve">[  ]    </w:t>
      </w:r>
    </w:p>
    <w:p>
      <w:pPr>
        <w:pStyle w:val="style0"/>
        <w:ind w:left="720"/>
        <w:rPr>
          <w:rFonts w:cs="Times New Roman"/>
          <w:szCs w:val="24"/>
        </w:rPr>
      </w:pPr>
      <w:r>
        <w:rPr>
          <w:rFonts w:cs="Times New Roman"/>
          <w:szCs w:val="24"/>
        </w:rPr>
        <w:t>b) Diploma</w:t>
      </w:r>
      <w:r>
        <w:rPr>
          <w:rFonts w:cs="Times New Roman"/>
          <w:szCs w:val="24"/>
        </w:rPr>
        <w:tab/>
      </w:r>
      <w:r>
        <w:rPr>
          <w:rFonts w:cs="Times New Roman"/>
          <w:szCs w:val="24"/>
        </w:rPr>
        <w:tab/>
      </w:r>
      <w:r>
        <w:rPr>
          <w:rFonts w:cs="Times New Roman"/>
          <w:szCs w:val="24"/>
        </w:rPr>
        <w:t xml:space="preserve">[  ]    </w:t>
      </w:r>
    </w:p>
    <w:p>
      <w:pPr>
        <w:pStyle w:val="style0"/>
        <w:ind w:left="720"/>
        <w:rPr>
          <w:rFonts w:cs="Times New Roman"/>
          <w:szCs w:val="24"/>
        </w:rPr>
      </w:pPr>
      <w:r>
        <w:rPr>
          <w:rFonts w:cs="Times New Roman"/>
          <w:szCs w:val="24"/>
        </w:rPr>
        <w:t>c) Degree</w:t>
      </w:r>
      <w:r>
        <w:rPr>
          <w:rFonts w:cs="Times New Roman"/>
          <w:szCs w:val="24"/>
        </w:rPr>
        <w:tab/>
      </w:r>
      <w:r>
        <w:rPr>
          <w:rFonts w:cs="Times New Roman"/>
          <w:szCs w:val="24"/>
        </w:rPr>
        <w:tab/>
      </w:r>
      <w:r>
        <w:rPr>
          <w:rFonts w:cs="Times New Roman"/>
          <w:szCs w:val="24"/>
        </w:rPr>
        <w:t xml:space="preserve">[  ]    </w:t>
      </w:r>
    </w:p>
    <w:p>
      <w:pPr>
        <w:pStyle w:val="style0"/>
        <w:rPr>
          <w:rFonts w:cs="Times New Roman"/>
          <w:szCs w:val="24"/>
        </w:rPr>
      </w:pPr>
      <w:r>
        <w:rPr>
          <w:rFonts w:cs="Times New Roman"/>
          <w:szCs w:val="24"/>
        </w:rPr>
        <w:t xml:space="preserve">3. </w:t>
      </w:r>
      <w:r>
        <w:rPr>
          <w:rFonts w:cs="Times New Roman"/>
          <w:szCs w:val="24"/>
        </w:rPr>
        <w:t xml:space="preserve">  How many years have you worked as a</w:t>
      </w:r>
      <w:r>
        <w:rPr>
          <w:rFonts w:cs="Times New Roman"/>
          <w:szCs w:val="24"/>
        </w:rPr>
        <w:t>n educator</w:t>
      </w:r>
      <w:r>
        <w:rPr>
          <w:rFonts w:cs="Times New Roman"/>
          <w:szCs w:val="24"/>
        </w:rPr>
        <w:t xml:space="preserve"> in this </w:t>
      </w:r>
      <w:r>
        <w:rPr>
          <w:rFonts w:cs="Times New Roman"/>
          <w:szCs w:val="24"/>
        </w:rPr>
        <w:t>institution</w:t>
      </w:r>
      <w:r>
        <w:rPr>
          <w:rFonts w:cs="Times New Roman"/>
          <w:szCs w:val="24"/>
        </w:rPr>
        <w:t>?</w:t>
      </w:r>
    </w:p>
    <w:p>
      <w:pPr>
        <w:pStyle w:val="style179"/>
        <w:numPr>
          <w:ilvl w:val="0"/>
          <w:numId w:val="8"/>
        </w:numPr>
        <w:rPr>
          <w:rFonts w:cs="Times New Roman"/>
          <w:szCs w:val="24"/>
        </w:rPr>
      </w:pPr>
      <w:r>
        <w:rPr>
          <w:rFonts w:cs="Times New Roman"/>
          <w:szCs w:val="24"/>
        </w:rPr>
        <w:t xml:space="preserve">less than 2 years       [  ]         b) 3 to 5 </w:t>
      </w:r>
      <w:r>
        <w:rPr>
          <w:rFonts w:cs="Times New Roman"/>
          <w:szCs w:val="24"/>
        </w:rPr>
        <w:t>year</w:t>
      </w:r>
      <w:r>
        <w:rPr>
          <w:rFonts w:cs="Times New Roman"/>
          <w:szCs w:val="24"/>
        </w:rPr>
        <w:tab/>
      </w:r>
    </w:p>
    <w:p>
      <w:pPr>
        <w:pStyle w:val="style0"/>
        <w:ind w:left="360"/>
        <w:rPr>
          <w:rFonts w:cs="Times New Roman"/>
          <w:szCs w:val="24"/>
        </w:rPr>
      </w:pPr>
      <w:r>
        <w:rPr>
          <w:rFonts w:cs="Times New Roman"/>
          <w:szCs w:val="24"/>
        </w:rPr>
        <w:t xml:space="preserve">c) 6 to 8 years        [  ]            </w:t>
      </w:r>
      <w:r>
        <w:rPr>
          <w:rFonts w:cs="Times New Roman"/>
          <w:szCs w:val="24"/>
        </w:rPr>
        <w:tab/>
      </w:r>
      <w:r>
        <w:rPr>
          <w:rFonts w:cs="Times New Roman"/>
          <w:szCs w:val="24"/>
        </w:rPr>
        <w:t>d) More than 8 years [  ]</w:t>
      </w:r>
    </w:p>
    <w:p>
      <w:pPr>
        <w:pStyle w:val="style0"/>
        <w:rPr>
          <w:rFonts w:cs="Times New Roman"/>
          <w:szCs w:val="24"/>
        </w:rPr>
      </w:pPr>
      <w:r>
        <w:rPr>
          <w:rFonts w:cs="Times New Roman"/>
          <w:szCs w:val="24"/>
        </w:rPr>
        <w:t>4.</w:t>
      </w:r>
      <w:r>
        <w:rPr>
          <w:rFonts w:cs="Times New Roman"/>
          <w:szCs w:val="24"/>
        </w:rPr>
        <w:t xml:space="preserve"> Besides</w:t>
      </w:r>
      <w:r>
        <w:rPr>
          <w:rFonts w:cs="Times New Roman"/>
          <w:szCs w:val="24"/>
        </w:rPr>
        <w:t xml:space="preserve"> </w:t>
      </w:r>
      <w:r>
        <w:rPr>
          <w:rFonts w:cs="Times New Roman"/>
          <w:szCs w:val="24"/>
        </w:rPr>
        <w:t xml:space="preserve">teaching, </w:t>
      </w:r>
      <w:r>
        <w:rPr>
          <w:rFonts w:cs="Times New Roman"/>
          <w:szCs w:val="24"/>
        </w:rPr>
        <w:t xml:space="preserve">what </w:t>
      </w:r>
      <w:r>
        <w:rPr>
          <w:rFonts w:cs="Times New Roman"/>
          <w:szCs w:val="24"/>
        </w:rPr>
        <w:t xml:space="preserve">other </w:t>
      </w:r>
      <w:r>
        <w:rPr>
          <w:rFonts w:cs="Times New Roman"/>
          <w:szCs w:val="24"/>
        </w:rPr>
        <w:t xml:space="preserve">roles do you </w:t>
      </w:r>
      <w:r>
        <w:rPr>
          <w:rFonts w:cs="Times New Roman"/>
          <w:szCs w:val="24"/>
        </w:rPr>
        <w:t>have</w:t>
      </w:r>
      <w:r>
        <w:rPr>
          <w:rFonts w:cs="Times New Roman"/>
          <w:szCs w:val="24"/>
        </w:rPr>
        <w:t xml:space="preserve"> in this school?</w:t>
      </w:r>
    </w:p>
    <w:p>
      <w:pPr>
        <w:pStyle w:val="style179"/>
        <w:numPr>
          <w:ilvl w:val="0"/>
          <w:numId w:val="10"/>
        </w:numPr>
        <w:rPr>
          <w:rFonts w:cs="Times New Roman"/>
          <w:szCs w:val="24"/>
        </w:rPr>
      </w:pPr>
      <w:r>
        <w:rPr>
          <w:rFonts w:cs="Times New Roman"/>
          <w:szCs w:val="24"/>
        </w:rPr>
        <w:t>Head of Department</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 xml:space="preserve">[  ]     </w:t>
      </w:r>
      <w:r>
        <w:rPr>
          <w:rFonts w:cs="Times New Roman"/>
          <w:szCs w:val="24"/>
        </w:rPr>
        <w:tab/>
      </w:r>
    </w:p>
    <w:p>
      <w:pPr>
        <w:pStyle w:val="style179"/>
        <w:numPr>
          <w:ilvl w:val="0"/>
          <w:numId w:val="10"/>
        </w:numPr>
        <w:rPr>
          <w:rFonts w:cs="Times New Roman"/>
          <w:szCs w:val="24"/>
        </w:rPr>
      </w:pPr>
      <w:r>
        <w:rPr>
          <w:rFonts w:cs="Times New Roman"/>
          <w:szCs w:val="24"/>
        </w:rPr>
        <w:t xml:space="preserve">Head of </w:t>
      </w:r>
      <w:r>
        <w:rPr>
          <w:rFonts w:cs="Times New Roman"/>
          <w:szCs w:val="24"/>
        </w:rPr>
        <w:t>Guidance</w:t>
      </w:r>
      <w:r>
        <w:rPr>
          <w:rFonts w:cs="Times New Roman"/>
          <w:szCs w:val="24"/>
        </w:rPr>
        <w:t xml:space="preserve"> and Counseling department</w:t>
      </w:r>
      <w:r>
        <w:rPr>
          <w:rFonts w:cs="Times New Roman"/>
          <w:szCs w:val="24"/>
        </w:rPr>
        <w:tab/>
      </w:r>
      <w:r>
        <w:rPr>
          <w:rFonts w:cs="Times New Roman"/>
          <w:szCs w:val="24"/>
        </w:rPr>
        <w:t xml:space="preserve">[  ]    </w:t>
      </w:r>
    </w:p>
    <w:p>
      <w:pPr>
        <w:pStyle w:val="style179"/>
        <w:numPr>
          <w:ilvl w:val="0"/>
          <w:numId w:val="10"/>
        </w:numPr>
        <w:rPr>
          <w:rFonts w:cs="Times New Roman"/>
          <w:szCs w:val="24"/>
        </w:rPr>
      </w:pPr>
      <w:r>
        <w:rPr>
          <w:rFonts w:cs="Times New Roman"/>
          <w:szCs w:val="24"/>
        </w:rPr>
        <w:t>Games department</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 xml:space="preserve">[  ]    </w:t>
      </w:r>
    </w:p>
    <w:p>
      <w:pPr>
        <w:pStyle w:val="style179"/>
        <w:numPr>
          <w:ilvl w:val="0"/>
          <w:numId w:val="10"/>
        </w:numPr>
        <w:rPr>
          <w:rFonts w:cs="Times New Roman"/>
          <w:szCs w:val="24"/>
        </w:rPr>
      </w:pPr>
      <w:r>
        <w:rPr>
          <w:rFonts w:cs="Times New Roman"/>
          <w:szCs w:val="24"/>
        </w:rPr>
        <w:t xml:space="preserve">Any other  </w:t>
      </w:r>
    </w:p>
    <w:bookmarkStart w:id="264" w:name="_Toc535841174"/>
    <w:p>
      <w:pPr>
        <w:pStyle w:val="style0"/>
        <w:tabs>
          <w:tab w:val="left" w:leader="none" w:pos="3105"/>
        </w:tabs>
        <w:rPr>
          <w:b/>
          <w:bCs/>
          <w:szCs w:val="24"/>
        </w:rPr>
      </w:pPr>
    </w:p>
    <w:p>
      <w:pPr>
        <w:pStyle w:val="style0"/>
        <w:tabs>
          <w:tab w:val="left" w:leader="none" w:pos="3105"/>
        </w:tabs>
        <w:rPr>
          <w:b/>
          <w:bCs/>
          <w:szCs w:val="24"/>
        </w:rPr>
      </w:pPr>
    </w:p>
    <w:p>
      <w:pPr>
        <w:pStyle w:val="style0"/>
        <w:tabs>
          <w:tab w:val="left" w:leader="none" w:pos="3105"/>
        </w:tabs>
        <w:rPr>
          <w:b/>
          <w:bCs/>
          <w:szCs w:val="24"/>
        </w:rPr>
      </w:pPr>
    </w:p>
    <w:p>
      <w:pPr>
        <w:pStyle w:val="style0"/>
        <w:tabs>
          <w:tab w:val="left" w:leader="none" w:pos="3105"/>
        </w:tabs>
        <w:rPr>
          <w:b/>
          <w:bCs/>
          <w:szCs w:val="24"/>
        </w:rPr>
      </w:pPr>
    </w:p>
    <w:p>
      <w:pPr>
        <w:pStyle w:val="style0"/>
        <w:tabs>
          <w:tab w:val="left" w:leader="none" w:pos="3105"/>
        </w:tabs>
        <w:rPr>
          <w:b/>
          <w:bCs/>
          <w:szCs w:val="24"/>
        </w:rPr>
      </w:pPr>
    </w:p>
    <w:p>
      <w:pPr>
        <w:pStyle w:val="style0"/>
        <w:tabs>
          <w:tab w:val="left" w:leader="none" w:pos="3105"/>
        </w:tabs>
        <w:rPr>
          <w:b/>
          <w:bCs/>
          <w:szCs w:val="24"/>
        </w:rPr>
      </w:pPr>
    </w:p>
    <w:p>
      <w:pPr>
        <w:pStyle w:val="style0"/>
        <w:tabs>
          <w:tab w:val="left" w:leader="none" w:pos="3105"/>
        </w:tabs>
        <w:rPr>
          <w:b/>
          <w:bCs/>
          <w:szCs w:val="24"/>
        </w:rPr>
      </w:pPr>
    </w:p>
    <w:p>
      <w:pPr>
        <w:pStyle w:val="style0"/>
        <w:tabs>
          <w:tab w:val="left" w:leader="none" w:pos="3105"/>
        </w:tabs>
        <w:rPr>
          <w:b/>
          <w:bCs/>
          <w:szCs w:val="24"/>
        </w:rPr>
      </w:pPr>
    </w:p>
    <w:p>
      <w:pPr>
        <w:pStyle w:val="style0"/>
        <w:tabs>
          <w:tab w:val="left" w:leader="none" w:pos="3105"/>
        </w:tabs>
        <w:rPr>
          <w:b/>
          <w:szCs w:val="24"/>
        </w:rPr>
      </w:pPr>
      <w:r>
        <w:rPr>
          <w:b/>
          <w:bCs/>
          <w:szCs w:val="24"/>
        </w:rPr>
        <w:t>Section B</w:t>
      </w:r>
      <w:r>
        <w:rPr>
          <w:b/>
          <w:bCs/>
          <w:szCs w:val="24"/>
        </w:rPr>
        <w:t xml:space="preserve">: </w:t>
      </w:r>
      <w:r>
        <w:rPr>
          <w:rFonts w:cs="Times New Roman"/>
          <w:b/>
          <w:szCs w:val="24"/>
        </w:rPr>
        <w:t xml:space="preserve">General </w:t>
      </w:r>
      <w:r>
        <w:rPr>
          <w:rFonts w:cs="Times New Roman"/>
          <w:b/>
          <w:szCs w:val="24"/>
        </w:rPr>
        <w:t>academic achievement</w:t>
      </w:r>
      <w:r>
        <w:rPr>
          <w:rFonts w:cs="Times New Roman"/>
          <w:b/>
          <w:szCs w:val="24"/>
        </w:rPr>
        <w:t xml:space="preserve"> of pupils in this school </w:t>
      </w:r>
    </w:p>
    <w:p>
      <w:pPr>
        <w:pStyle w:val="style0"/>
        <w:tabs>
          <w:tab w:val="left" w:leader="none" w:pos="3105"/>
        </w:tabs>
        <w:rPr>
          <w:rFonts w:eastAsia="Times New Roman"/>
          <w:color w:val="000000"/>
          <w:szCs w:val="24"/>
        </w:rPr>
      </w:pPr>
      <w:r>
        <w:rPr>
          <w:szCs w:val="24"/>
        </w:rPr>
        <w:t xml:space="preserve">14. </w:t>
      </w:r>
      <w:r>
        <w:rPr>
          <w:szCs w:val="24"/>
        </w:rPr>
        <w:t>This section</w:t>
      </w:r>
      <w:r>
        <w:rPr>
          <w:szCs w:val="24"/>
        </w:rPr>
        <w:t xml:space="preserve"> </w:t>
      </w:r>
      <w:r>
        <w:rPr>
          <w:szCs w:val="24"/>
        </w:rPr>
        <w:t>assess</w:t>
      </w:r>
      <w:r>
        <w:rPr>
          <w:szCs w:val="24"/>
        </w:rPr>
        <w:t xml:space="preserve"> the performance of pupils</w:t>
      </w:r>
      <w:r>
        <w:t xml:space="preserve"> in the following areas</w:t>
      </w:r>
      <w:r>
        <w:rPr>
          <w:szCs w:val="24"/>
        </w:rPr>
        <w:t>.</w:t>
      </w:r>
      <w:r>
        <w:rPr>
          <w:szCs w:val="24"/>
        </w:rPr>
        <w:t xml:space="preserve"> </w:t>
      </w:r>
      <w:r>
        <w:rPr>
          <w:szCs w:val="24"/>
        </w:rPr>
        <w:t xml:space="preserve">Kindly indicate the average marks attained for the year </w:t>
      </w:r>
      <w:r>
        <w:rPr>
          <w:szCs w:val="24"/>
        </w:rPr>
        <w:t>2021</w:t>
      </w:r>
      <w:r>
        <w:rPr>
          <w:szCs w:val="24"/>
        </w:rPr>
        <w:t>-2019</w:t>
      </w:r>
      <w:r>
        <w:rPr>
          <w:szCs w:val="24"/>
        </w:rPr>
        <w:t xml:space="preserve"> in the following areas/disciplines</w:t>
      </w:r>
      <w:r>
        <w:rPr>
          <w:szCs w:val="24"/>
        </w:rPr>
        <w:t xml:space="preserve">. A value of &lt;40 marks is termed as very poor performance, </w:t>
      </w:r>
      <w:r>
        <w:rPr>
          <w:rFonts w:eastAsia="Times New Roman"/>
          <w:color w:val="000000"/>
          <w:szCs w:val="24"/>
        </w:rPr>
        <w:t xml:space="preserve">41-50 marks poor performance, 51-60marks average </w:t>
      </w:r>
      <w:r>
        <w:rPr>
          <w:rFonts w:eastAsia="Times New Roman"/>
          <w:color w:val="000000"/>
          <w:szCs w:val="24"/>
        </w:rPr>
        <w:t>performance, and</w:t>
      </w:r>
      <w:r>
        <w:rPr>
          <w:rFonts w:eastAsia="Times New Roman"/>
          <w:color w:val="000000"/>
          <w:szCs w:val="24"/>
        </w:rPr>
        <w:t xml:space="preserve"> 61-70 marks, good performance and &gt;70marks very good performance.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3"/>
        <w:gridCol w:w="1550"/>
        <w:gridCol w:w="833"/>
        <w:gridCol w:w="790"/>
        <w:gridCol w:w="1118"/>
        <w:gridCol w:w="1118"/>
        <w:gridCol w:w="1118"/>
        <w:gridCol w:w="971"/>
      </w:tblGrid>
      <w:tr>
        <w:trPr>
          <w:trHeight w:val="301" w:hRule="atLeast"/>
        </w:trPr>
        <w:tc>
          <w:tcPr>
            <w:tcW w:w="434"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944" w:type="pct"/>
            <w:tcBorders/>
          </w:tcPr>
          <w:p>
            <w:pPr>
              <w:pStyle w:val="style0"/>
              <w:spacing w:before="0" w:after="0" w:lineRule="auto" w:line="240"/>
              <w:jc w:val="left"/>
              <w:rPr>
                <w:rFonts w:eastAsia="Times New Roman"/>
                <w:color w:val="000000"/>
                <w:szCs w:val="24"/>
              </w:rPr>
            </w:pPr>
          </w:p>
        </w:tc>
        <w:tc>
          <w:tcPr>
            <w:tcW w:w="507"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481" w:type="pct"/>
            <w:tcBorders/>
            <w:shd w:val="clear" w:color="auto" w:fill="auto"/>
            <w:noWrap/>
            <w:vAlign w:val="bottom"/>
          </w:tcPr>
          <w:p>
            <w:pPr>
              <w:pStyle w:val="style0"/>
              <w:spacing w:before="0" w:after="0" w:lineRule="auto" w:line="240"/>
              <w:jc w:val="left"/>
              <w:rPr>
                <w:rFonts w:eastAsia="Times New Roman"/>
                <w:color w:val="000000"/>
                <w:szCs w:val="24"/>
              </w:rPr>
            </w:pPr>
            <w:r>
              <w:rPr>
                <w:rFonts w:eastAsia="Times New Roman"/>
                <w:color w:val="000000"/>
                <w:szCs w:val="24"/>
              </w:rPr>
              <w:t>very poor</w:t>
            </w:r>
          </w:p>
        </w:tc>
        <w:tc>
          <w:tcPr>
            <w:tcW w:w="681" w:type="pct"/>
            <w:tcBorders/>
            <w:shd w:val="clear" w:color="auto" w:fill="auto"/>
            <w:noWrap/>
            <w:vAlign w:val="bottom"/>
          </w:tcPr>
          <w:p>
            <w:pPr>
              <w:pStyle w:val="style0"/>
              <w:spacing w:before="0" w:after="0" w:lineRule="auto" w:line="240"/>
              <w:jc w:val="left"/>
              <w:rPr>
                <w:rFonts w:eastAsia="Times New Roman"/>
                <w:color w:val="000000"/>
                <w:szCs w:val="24"/>
              </w:rPr>
            </w:pPr>
            <w:r>
              <w:rPr>
                <w:rFonts w:eastAsia="Times New Roman"/>
                <w:color w:val="000000"/>
                <w:szCs w:val="24"/>
              </w:rPr>
              <w:t>poor</w:t>
            </w:r>
          </w:p>
        </w:tc>
        <w:tc>
          <w:tcPr>
            <w:tcW w:w="681" w:type="pct"/>
            <w:tcBorders/>
            <w:shd w:val="clear" w:color="auto" w:fill="auto"/>
            <w:noWrap/>
            <w:vAlign w:val="bottom"/>
          </w:tcPr>
          <w:p>
            <w:pPr>
              <w:pStyle w:val="style0"/>
              <w:spacing w:before="0" w:after="0" w:lineRule="auto" w:line="240"/>
              <w:jc w:val="left"/>
              <w:rPr>
                <w:rFonts w:eastAsia="Times New Roman"/>
                <w:color w:val="000000"/>
                <w:szCs w:val="24"/>
              </w:rPr>
            </w:pPr>
            <w:r>
              <w:rPr>
                <w:rFonts w:eastAsia="Times New Roman"/>
                <w:color w:val="000000"/>
                <w:szCs w:val="24"/>
              </w:rPr>
              <w:t>average</w:t>
            </w:r>
          </w:p>
        </w:tc>
        <w:tc>
          <w:tcPr>
            <w:tcW w:w="681" w:type="pct"/>
            <w:tcBorders/>
            <w:shd w:val="clear" w:color="auto" w:fill="auto"/>
            <w:noWrap/>
            <w:vAlign w:val="bottom"/>
          </w:tcPr>
          <w:p>
            <w:pPr>
              <w:pStyle w:val="style0"/>
              <w:spacing w:before="0" w:after="0" w:lineRule="auto" w:line="240"/>
              <w:jc w:val="left"/>
              <w:rPr>
                <w:rFonts w:eastAsia="Times New Roman"/>
                <w:color w:val="000000"/>
                <w:szCs w:val="24"/>
              </w:rPr>
            </w:pPr>
            <w:r>
              <w:rPr>
                <w:rFonts w:eastAsia="Times New Roman"/>
                <w:color w:val="000000"/>
                <w:szCs w:val="24"/>
              </w:rPr>
              <w:t>Good</w:t>
            </w:r>
          </w:p>
        </w:tc>
        <w:tc>
          <w:tcPr>
            <w:tcW w:w="592" w:type="pct"/>
            <w:tcBorders/>
            <w:shd w:val="clear" w:color="auto" w:fill="auto"/>
            <w:noWrap/>
            <w:vAlign w:val="bottom"/>
          </w:tcPr>
          <w:p>
            <w:pPr>
              <w:pStyle w:val="style0"/>
              <w:spacing w:before="0" w:after="0" w:lineRule="auto" w:line="240"/>
              <w:jc w:val="left"/>
              <w:rPr>
                <w:rFonts w:eastAsia="Times New Roman"/>
                <w:color w:val="000000"/>
                <w:szCs w:val="24"/>
              </w:rPr>
            </w:pPr>
            <w:r>
              <w:rPr>
                <w:rFonts w:eastAsia="Times New Roman"/>
                <w:color w:val="000000"/>
                <w:szCs w:val="24"/>
              </w:rPr>
              <w:t>very good</w:t>
            </w:r>
          </w:p>
        </w:tc>
      </w:tr>
      <w:tr>
        <w:tblPrEx/>
        <w:trPr>
          <w:trHeight w:val="301" w:hRule="atLeast"/>
        </w:trPr>
        <w:tc>
          <w:tcPr>
            <w:tcW w:w="434"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Year</w:t>
            </w:r>
          </w:p>
        </w:tc>
        <w:tc>
          <w:tcPr>
            <w:tcW w:w="944" w:type="pct"/>
            <w:tcBorders/>
          </w:tcPr>
          <w:p>
            <w:pPr>
              <w:pStyle w:val="style0"/>
              <w:spacing w:before="0" w:after="0" w:lineRule="auto" w:line="240"/>
              <w:jc w:val="left"/>
              <w:rPr>
                <w:rFonts w:eastAsia="Times New Roman"/>
                <w:color w:val="000000"/>
                <w:szCs w:val="24"/>
              </w:rPr>
            </w:pPr>
          </w:p>
          <w:p>
            <w:pPr>
              <w:pStyle w:val="style0"/>
              <w:spacing w:before="0" w:after="0" w:lineRule="auto" w:line="240"/>
              <w:jc w:val="left"/>
              <w:rPr>
                <w:rFonts w:eastAsia="Times New Roman"/>
                <w:color w:val="000000"/>
                <w:szCs w:val="24"/>
              </w:rPr>
            </w:pPr>
            <w:r>
              <w:rPr>
                <w:rFonts w:eastAsia="Times New Roman"/>
                <w:color w:val="000000"/>
                <w:szCs w:val="24"/>
              </w:rPr>
              <w:t>Subject</w:t>
            </w: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&lt;40 marks</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41-50marks</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51-60marks</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61-70marks</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&gt;70marks</w:t>
            </w:r>
          </w:p>
        </w:tc>
      </w:tr>
      <w:tr>
        <w:tblPrEx/>
        <w:trPr>
          <w:trHeight w:val="301" w:hRule="atLeast"/>
        </w:trPr>
        <w:tc>
          <w:tcPr>
            <w:tcW w:w="434" w:type="pct"/>
            <w:vMerge w:val="restart"/>
            <w:tcBorders/>
            <w:shd w:val="clear" w:color="auto" w:fill="auto"/>
            <w:noWrap/>
            <w:vAlign w:val="bottom"/>
            <w:hideMark/>
          </w:tcPr>
          <w:p>
            <w:pPr>
              <w:pStyle w:val="style0"/>
              <w:spacing w:before="0" w:after="0" w:lineRule="auto" w:line="240"/>
              <w:jc w:val="right"/>
              <w:rPr>
                <w:rFonts w:eastAsia="Times New Roman"/>
                <w:color w:val="000000"/>
                <w:szCs w:val="24"/>
              </w:rPr>
            </w:pPr>
            <w:r>
              <w:rPr>
                <w:rFonts w:eastAsia="Times New Roman"/>
                <w:color w:val="000000"/>
                <w:szCs w:val="24"/>
              </w:rPr>
              <w:t>202</w:t>
            </w:r>
            <w:r>
              <w:rPr>
                <w:rFonts w:eastAsia="Times New Roman"/>
                <w:color w:val="000000"/>
                <w:szCs w:val="24"/>
              </w:rPr>
              <w:t>1</w:t>
            </w:r>
          </w:p>
        </w:tc>
        <w:tc>
          <w:tcPr>
            <w:tcW w:w="944" w:type="pct"/>
            <w:vMerge w:val="restart"/>
            <w:tcBorders/>
          </w:tcPr>
          <w:p>
            <w:pPr>
              <w:pStyle w:val="style0"/>
              <w:spacing w:before="0" w:after="0" w:lineRule="auto" w:line="240"/>
              <w:jc w:val="left"/>
              <w:rPr>
                <w:rFonts w:eastAsia="Times New Roman"/>
                <w:color w:val="000000"/>
                <w:szCs w:val="24"/>
              </w:rPr>
            </w:pPr>
            <w:r>
              <w:rPr>
                <w:rFonts w:cs="Times New Roman"/>
                <w:szCs w:val="24"/>
              </w:rPr>
              <w:t>Mathematics</w:t>
            </w: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1</w:t>
            </w:r>
            <w:r>
              <w:rPr>
                <w:rFonts w:eastAsia="Times New Roman"/>
                <w:color w:val="000000"/>
                <w:szCs w:val="24"/>
                <w:vertAlign w:val="superscript"/>
              </w:rPr>
              <w:t>st</w:t>
            </w:r>
            <w:r>
              <w:rPr>
                <w:rFonts w:eastAsia="Times New Roman"/>
                <w:color w:val="000000"/>
                <w:szCs w:val="24"/>
              </w:rPr>
              <w:t xml:space="preserve"> </w:t>
            </w:r>
            <w:r>
              <w:rPr>
                <w:rFonts w:eastAsia="Times New Roman"/>
                <w:color w:val="000000"/>
                <w:szCs w:val="24"/>
              </w:rPr>
              <w:t>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r>
      <w:tr>
        <w:tblPrEx/>
        <w:trPr>
          <w:trHeight w:val="301" w:hRule="atLeast"/>
        </w:trPr>
        <w:tc>
          <w:tcPr>
            <w:tcW w:w="434" w:type="pct"/>
            <w:vMerge w:val="continue"/>
            <w:tcBorders/>
            <w:shd w:val="clear" w:color="auto" w:fill="auto"/>
            <w:noWrap/>
            <w:vAlign w:val="bottom"/>
            <w:hideMark/>
          </w:tcPr>
          <w:p>
            <w:pPr>
              <w:pStyle w:val="style0"/>
              <w:spacing w:before="0" w:after="0" w:lineRule="auto" w:line="240"/>
              <w:jc w:val="left"/>
              <w:rPr>
                <w:rFonts w:eastAsia="Times New Roman"/>
                <w:color w:val="000000"/>
                <w:szCs w:val="24"/>
              </w:rPr>
            </w:pPr>
          </w:p>
        </w:tc>
        <w:tc>
          <w:tcPr>
            <w:tcW w:w="944" w:type="pct"/>
            <w:vMerge w:val="continue"/>
            <w:tcBorders/>
          </w:tcPr>
          <w:p>
            <w:pPr>
              <w:pStyle w:val="style0"/>
              <w:spacing w:before="0" w:after="0" w:lineRule="auto" w:line="240"/>
              <w:jc w:val="left"/>
              <w:rPr>
                <w:rFonts w:eastAsia="Times New Roman"/>
                <w:color w:val="000000"/>
                <w:szCs w:val="24"/>
              </w:rPr>
            </w:pP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2</w:t>
            </w:r>
            <w:r>
              <w:rPr>
                <w:rFonts w:eastAsia="Times New Roman"/>
                <w:color w:val="000000"/>
                <w:szCs w:val="24"/>
                <w:vertAlign w:val="superscript"/>
              </w:rPr>
              <w:t>nd</w:t>
            </w:r>
            <w:r>
              <w:rPr>
                <w:rFonts w:eastAsia="Times New Roman"/>
                <w:color w:val="000000"/>
                <w:szCs w:val="24"/>
              </w:rPr>
              <w:t xml:space="preserve"> </w:t>
            </w:r>
            <w:r>
              <w:rPr>
                <w:rFonts w:eastAsia="Times New Roman"/>
                <w:color w:val="000000"/>
                <w:szCs w:val="24"/>
              </w:rPr>
              <w:t>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r>
      <w:tr>
        <w:tblPrEx/>
        <w:trPr>
          <w:trHeight w:val="301" w:hRule="atLeast"/>
        </w:trPr>
        <w:tc>
          <w:tcPr>
            <w:tcW w:w="434" w:type="pct"/>
            <w:vMerge w:val="continue"/>
            <w:tcBorders/>
            <w:shd w:val="clear" w:color="auto" w:fill="auto"/>
            <w:noWrap/>
            <w:vAlign w:val="bottom"/>
            <w:hideMark/>
          </w:tcPr>
          <w:p>
            <w:pPr>
              <w:pStyle w:val="style0"/>
              <w:spacing w:before="0" w:after="0" w:lineRule="auto" w:line="240"/>
              <w:jc w:val="left"/>
              <w:rPr>
                <w:rFonts w:eastAsia="Times New Roman"/>
                <w:color w:val="000000"/>
                <w:szCs w:val="24"/>
              </w:rPr>
            </w:pPr>
          </w:p>
        </w:tc>
        <w:tc>
          <w:tcPr>
            <w:tcW w:w="944" w:type="pct"/>
            <w:vMerge w:val="continue"/>
            <w:tcBorders/>
          </w:tcPr>
          <w:p>
            <w:pPr>
              <w:pStyle w:val="style0"/>
              <w:spacing w:before="0" w:after="0" w:lineRule="auto" w:line="240"/>
              <w:jc w:val="left"/>
              <w:rPr>
                <w:rFonts w:eastAsia="Times New Roman"/>
                <w:color w:val="000000"/>
                <w:szCs w:val="24"/>
              </w:rPr>
            </w:pP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3</w:t>
            </w:r>
            <w:r>
              <w:rPr>
                <w:rFonts w:eastAsia="Times New Roman"/>
                <w:color w:val="000000"/>
                <w:szCs w:val="24"/>
                <w:vertAlign w:val="superscript"/>
              </w:rPr>
              <w:t>rd</w:t>
            </w:r>
            <w:r>
              <w:rPr>
                <w:rFonts w:eastAsia="Times New Roman"/>
                <w:color w:val="000000"/>
                <w:szCs w:val="24"/>
              </w:rPr>
              <w:t xml:space="preserve"> </w:t>
            </w:r>
            <w:r>
              <w:rPr>
                <w:rFonts w:eastAsia="Times New Roman"/>
                <w:color w:val="000000"/>
                <w:szCs w:val="24"/>
              </w:rPr>
              <w:t>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r>
      <w:tr>
        <w:tblPrEx/>
        <w:trPr>
          <w:trHeight w:val="301" w:hRule="atLeast"/>
        </w:trPr>
        <w:tc>
          <w:tcPr>
            <w:tcW w:w="434" w:type="pct"/>
            <w:vMerge w:val="restart"/>
            <w:tcBorders/>
            <w:shd w:val="clear" w:color="auto" w:fill="auto"/>
            <w:noWrap/>
            <w:vAlign w:val="bottom"/>
            <w:hideMark/>
          </w:tcPr>
          <w:p>
            <w:pPr>
              <w:pStyle w:val="style0"/>
              <w:spacing w:before="0" w:after="0" w:lineRule="auto" w:line="240"/>
              <w:jc w:val="right"/>
              <w:rPr>
                <w:rFonts w:eastAsia="Times New Roman"/>
                <w:color w:val="000000"/>
                <w:szCs w:val="24"/>
              </w:rPr>
            </w:pPr>
            <w:r>
              <w:rPr>
                <w:rFonts w:eastAsia="Times New Roman"/>
                <w:color w:val="000000"/>
                <w:szCs w:val="24"/>
              </w:rPr>
              <w:t>202</w:t>
            </w:r>
            <w:r>
              <w:rPr>
                <w:rFonts w:eastAsia="Times New Roman"/>
                <w:color w:val="000000"/>
                <w:szCs w:val="24"/>
              </w:rPr>
              <w:t>0</w:t>
            </w:r>
          </w:p>
        </w:tc>
        <w:tc>
          <w:tcPr>
            <w:tcW w:w="944" w:type="pct"/>
            <w:vMerge w:val="restart"/>
            <w:tcBorders/>
          </w:tcPr>
          <w:p>
            <w:pPr>
              <w:pStyle w:val="style0"/>
              <w:spacing w:before="0" w:after="0" w:lineRule="auto" w:line="240"/>
              <w:jc w:val="left"/>
              <w:rPr>
                <w:rFonts w:eastAsia="Times New Roman"/>
                <w:color w:val="000000"/>
                <w:szCs w:val="24"/>
              </w:rPr>
            </w:pPr>
            <w:r>
              <w:rPr>
                <w:rFonts w:cs="Times New Roman"/>
                <w:szCs w:val="24"/>
              </w:rPr>
              <w:t>Languages</w:t>
            </w: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1</w:t>
            </w:r>
            <w:r>
              <w:rPr>
                <w:rFonts w:eastAsia="Times New Roman"/>
                <w:color w:val="000000"/>
                <w:szCs w:val="24"/>
                <w:vertAlign w:val="superscript"/>
              </w:rPr>
              <w:t>st</w:t>
            </w:r>
            <w:r>
              <w:rPr>
                <w:rFonts w:eastAsia="Times New Roman"/>
                <w:color w:val="000000"/>
                <w:szCs w:val="24"/>
              </w:rPr>
              <w:t xml:space="preserve"> 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r>
      <w:tr>
        <w:tblPrEx/>
        <w:trPr>
          <w:trHeight w:val="301" w:hRule="atLeast"/>
        </w:trPr>
        <w:tc>
          <w:tcPr>
            <w:tcW w:w="434" w:type="pct"/>
            <w:vMerge w:val="continue"/>
            <w:tcBorders/>
            <w:shd w:val="clear" w:color="auto" w:fill="auto"/>
            <w:noWrap/>
            <w:vAlign w:val="bottom"/>
            <w:hideMark/>
          </w:tcPr>
          <w:p>
            <w:pPr>
              <w:pStyle w:val="style0"/>
              <w:spacing w:before="0" w:after="0" w:lineRule="auto" w:line="240"/>
              <w:jc w:val="left"/>
              <w:rPr>
                <w:rFonts w:eastAsia="Times New Roman"/>
                <w:color w:val="000000"/>
                <w:szCs w:val="24"/>
              </w:rPr>
            </w:pPr>
          </w:p>
        </w:tc>
        <w:tc>
          <w:tcPr>
            <w:tcW w:w="944" w:type="pct"/>
            <w:vMerge w:val="continue"/>
            <w:tcBorders/>
          </w:tcPr>
          <w:p>
            <w:pPr>
              <w:pStyle w:val="style0"/>
              <w:spacing w:before="0" w:after="0" w:lineRule="auto" w:line="240"/>
              <w:jc w:val="left"/>
              <w:rPr>
                <w:rFonts w:eastAsia="Times New Roman"/>
                <w:color w:val="000000"/>
                <w:szCs w:val="24"/>
              </w:rPr>
            </w:pP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2</w:t>
            </w:r>
            <w:r>
              <w:rPr>
                <w:rFonts w:eastAsia="Times New Roman"/>
                <w:color w:val="000000"/>
                <w:szCs w:val="24"/>
                <w:vertAlign w:val="superscript"/>
              </w:rPr>
              <w:t>nd</w:t>
            </w:r>
            <w:r>
              <w:rPr>
                <w:rFonts w:eastAsia="Times New Roman"/>
                <w:color w:val="000000"/>
                <w:szCs w:val="24"/>
              </w:rPr>
              <w:t xml:space="preserve"> 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r>
      <w:tr>
        <w:tblPrEx/>
        <w:trPr>
          <w:trHeight w:val="301" w:hRule="atLeast"/>
        </w:trPr>
        <w:tc>
          <w:tcPr>
            <w:tcW w:w="434" w:type="pct"/>
            <w:vMerge w:val="continue"/>
            <w:tcBorders/>
            <w:shd w:val="clear" w:color="auto" w:fill="auto"/>
            <w:noWrap/>
            <w:vAlign w:val="bottom"/>
            <w:hideMark/>
          </w:tcPr>
          <w:p>
            <w:pPr>
              <w:pStyle w:val="style0"/>
              <w:spacing w:before="0" w:after="0" w:lineRule="auto" w:line="240"/>
              <w:jc w:val="left"/>
              <w:rPr>
                <w:rFonts w:eastAsia="Times New Roman"/>
                <w:color w:val="000000"/>
                <w:szCs w:val="24"/>
              </w:rPr>
            </w:pPr>
          </w:p>
        </w:tc>
        <w:tc>
          <w:tcPr>
            <w:tcW w:w="944" w:type="pct"/>
            <w:vMerge w:val="continue"/>
            <w:tcBorders/>
          </w:tcPr>
          <w:p>
            <w:pPr>
              <w:pStyle w:val="style0"/>
              <w:spacing w:before="0" w:after="0" w:lineRule="auto" w:line="240"/>
              <w:jc w:val="left"/>
              <w:rPr>
                <w:rFonts w:eastAsia="Times New Roman"/>
                <w:color w:val="000000"/>
                <w:szCs w:val="24"/>
              </w:rPr>
            </w:pP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3</w:t>
            </w:r>
            <w:r>
              <w:rPr>
                <w:rFonts w:eastAsia="Times New Roman"/>
                <w:color w:val="000000"/>
                <w:szCs w:val="24"/>
                <w:vertAlign w:val="superscript"/>
              </w:rPr>
              <w:t>rd</w:t>
            </w:r>
            <w:r>
              <w:rPr>
                <w:rFonts w:eastAsia="Times New Roman"/>
                <w:color w:val="000000"/>
                <w:szCs w:val="24"/>
              </w:rPr>
              <w:t xml:space="preserve"> 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r>
      <w:tr>
        <w:tblPrEx/>
        <w:trPr>
          <w:trHeight w:val="301" w:hRule="atLeast"/>
        </w:trPr>
        <w:tc>
          <w:tcPr>
            <w:tcW w:w="434" w:type="pct"/>
            <w:vMerge w:val="restart"/>
            <w:tcBorders/>
            <w:shd w:val="clear" w:color="auto" w:fill="auto"/>
            <w:noWrap/>
            <w:vAlign w:val="bottom"/>
          </w:tcPr>
          <w:p>
            <w:pPr>
              <w:pStyle w:val="style0"/>
              <w:spacing w:before="0" w:after="0" w:lineRule="auto" w:line="240"/>
              <w:jc w:val="left"/>
              <w:rPr>
                <w:rFonts w:eastAsia="Times New Roman"/>
                <w:color w:val="000000"/>
                <w:szCs w:val="24"/>
              </w:rPr>
            </w:pPr>
            <w:r>
              <w:rPr>
                <w:rFonts w:eastAsia="Times New Roman"/>
                <w:color w:val="000000"/>
                <w:szCs w:val="24"/>
              </w:rPr>
              <w:t>201</w:t>
            </w:r>
            <w:r>
              <w:rPr>
                <w:rFonts w:eastAsia="Times New Roman"/>
                <w:color w:val="000000"/>
                <w:szCs w:val="24"/>
              </w:rPr>
              <w:t>9</w:t>
            </w:r>
          </w:p>
        </w:tc>
        <w:tc>
          <w:tcPr>
            <w:tcW w:w="944" w:type="pct"/>
            <w:vMerge w:val="restart"/>
            <w:tcBorders/>
          </w:tcPr>
          <w:p>
            <w:pPr>
              <w:pStyle w:val="style0"/>
              <w:spacing w:before="0" w:after="0" w:lineRule="auto" w:line="240"/>
              <w:jc w:val="left"/>
              <w:rPr>
                <w:rFonts w:eastAsia="Times New Roman"/>
                <w:color w:val="000000"/>
                <w:szCs w:val="24"/>
              </w:rPr>
            </w:pPr>
            <w:r>
              <w:rPr>
                <w:rFonts w:cs="Times New Roman"/>
                <w:szCs w:val="24"/>
              </w:rPr>
              <w:t>Sciences</w:t>
            </w:r>
          </w:p>
        </w:tc>
        <w:tc>
          <w:tcPr>
            <w:tcW w:w="507" w:type="pct"/>
            <w:tcBorders/>
            <w:shd w:val="clear" w:color="auto" w:fill="auto"/>
            <w:noWrap/>
            <w:vAlign w:val="bottom"/>
          </w:tcPr>
          <w:p>
            <w:pPr>
              <w:pStyle w:val="style0"/>
              <w:spacing w:before="0" w:after="0" w:lineRule="auto" w:line="240"/>
              <w:jc w:val="left"/>
              <w:rPr>
                <w:rFonts w:eastAsia="Times New Roman"/>
                <w:color w:val="000000"/>
                <w:szCs w:val="24"/>
              </w:rPr>
            </w:pPr>
            <w:r>
              <w:rPr>
                <w:rFonts w:eastAsia="Times New Roman"/>
                <w:color w:val="000000"/>
                <w:szCs w:val="24"/>
              </w:rPr>
              <w:t>1</w:t>
            </w:r>
            <w:r>
              <w:rPr>
                <w:rFonts w:eastAsia="Times New Roman"/>
                <w:color w:val="000000"/>
                <w:szCs w:val="24"/>
                <w:vertAlign w:val="superscript"/>
              </w:rPr>
              <w:t>st</w:t>
            </w:r>
            <w:r>
              <w:rPr>
                <w:rFonts w:eastAsia="Times New Roman"/>
                <w:color w:val="000000"/>
                <w:szCs w:val="24"/>
              </w:rPr>
              <w:t xml:space="preserve"> Term</w:t>
            </w:r>
          </w:p>
        </w:tc>
        <w:tc>
          <w:tcPr>
            <w:tcW w:w="481"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681"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681"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681"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592" w:type="pct"/>
            <w:tcBorders/>
            <w:shd w:val="clear" w:color="auto" w:fill="auto"/>
            <w:noWrap/>
            <w:vAlign w:val="bottom"/>
          </w:tcPr>
          <w:p>
            <w:pPr>
              <w:pStyle w:val="style0"/>
              <w:spacing w:before="0" w:after="0" w:lineRule="auto" w:line="240"/>
              <w:jc w:val="left"/>
              <w:rPr>
                <w:rFonts w:eastAsia="Times New Roman"/>
                <w:color w:val="000000"/>
                <w:szCs w:val="24"/>
              </w:rPr>
            </w:pPr>
          </w:p>
        </w:tc>
      </w:tr>
      <w:tr>
        <w:tblPrEx/>
        <w:trPr>
          <w:trHeight w:val="301" w:hRule="atLeast"/>
        </w:trPr>
        <w:tc>
          <w:tcPr>
            <w:tcW w:w="434" w:type="pct"/>
            <w:vMerge w:val="continue"/>
            <w:tcBorders/>
            <w:shd w:val="clear" w:color="auto" w:fill="auto"/>
            <w:noWrap/>
            <w:vAlign w:val="bottom"/>
          </w:tcPr>
          <w:p>
            <w:pPr>
              <w:pStyle w:val="style0"/>
              <w:spacing w:before="0" w:after="0" w:lineRule="auto" w:line="240"/>
              <w:jc w:val="left"/>
              <w:rPr>
                <w:rFonts w:eastAsia="Times New Roman"/>
                <w:color w:val="000000"/>
                <w:szCs w:val="24"/>
              </w:rPr>
            </w:pPr>
          </w:p>
        </w:tc>
        <w:tc>
          <w:tcPr>
            <w:tcW w:w="944" w:type="pct"/>
            <w:vMerge w:val="continue"/>
            <w:tcBorders/>
          </w:tcPr>
          <w:p>
            <w:pPr>
              <w:pStyle w:val="style0"/>
              <w:spacing w:before="0" w:after="0" w:lineRule="auto" w:line="240"/>
              <w:jc w:val="left"/>
              <w:rPr>
                <w:rFonts w:eastAsia="Times New Roman"/>
                <w:color w:val="000000"/>
                <w:szCs w:val="24"/>
              </w:rPr>
            </w:pPr>
          </w:p>
        </w:tc>
        <w:tc>
          <w:tcPr>
            <w:tcW w:w="507" w:type="pct"/>
            <w:tcBorders/>
            <w:shd w:val="clear" w:color="auto" w:fill="auto"/>
            <w:noWrap/>
            <w:vAlign w:val="bottom"/>
          </w:tcPr>
          <w:p>
            <w:pPr>
              <w:pStyle w:val="style0"/>
              <w:spacing w:before="0" w:after="0" w:lineRule="auto" w:line="240"/>
              <w:jc w:val="left"/>
              <w:rPr>
                <w:rFonts w:eastAsia="Times New Roman"/>
                <w:color w:val="000000"/>
                <w:szCs w:val="24"/>
              </w:rPr>
            </w:pPr>
            <w:r>
              <w:rPr>
                <w:rFonts w:eastAsia="Times New Roman"/>
                <w:color w:val="000000"/>
                <w:szCs w:val="24"/>
              </w:rPr>
              <w:t>2</w:t>
            </w:r>
            <w:r>
              <w:rPr>
                <w:rFonts w:eastAsia="Times New Roman"/>
                <w:color w:val="000000"/>
                <w:szCs w:val="24"/>
                <w:vertAlign w:val="superscript"/>
              </w:rPr>
              <w:t>nd</w:t>
            </w:r>
            <w:r>
              <w:rPr>
                <w:rFonts w:eastAsia="Times New Roman"/>
                <w:color w:val="000000"/>
                <w:szCs w:val="24"/>
              </w:rPr>
              <w:t xml:space="preserve"> </w:t>
            </w:r>
            <w:r>
              <w:rPr>
                <w:rFonts w:eastAsia="Times New Roman"/>
                <w:color w:val="000000"/>
                <w:szCs w:val="24"/>
              </w:rPr>
              <w:t xml:space="preserve">Term </w:t>
            </w:r>
          </w:p>
        </w:tc>
        <w:tc>
          <w:tcPr>
            <w:tcW w:w="481"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681"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681"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681" w:type="pct"/>
            <w:tcBorders/>
            <w:shd w:val="clear" w:color="auto" w:fill="auto"/>
            <w:noWrap/>
            <w:vAlign w:val="bottom"/>
          </w:tcPr>
          <w:p>
            <w:pPr>
              <w:pStyle w:val="style0"/>
              <w:spacing w:before="0" w:after="0" w:lineRule="auto" w:line="240"/>
              <w:jc w:val="left"/>
              <w:rPr>
                <w:rFonts w:eastAsia="Times New Roman"/>
                <w:color w:val="000000"/>
                <w:szCs w:val="24"/>
              </w:rPr>
            </w:pPr>
          </w:p>
        </w:tc>
        <w:tc>
          <w:tcPr>
            <w:tcW w:w="592" w:type="pct"/>
            <w:tcBorders/>
            <w:shd w:val="clear" w:color="auto" w:fill="auto"/>
            <w:noWrap/>
            <w:vAlign w:val="bottom"/>
          </w:tcPr>
          <w:p>
            <w:pPr>
              <w:pStyle w:val="style0"/>
              <w:spacing w:before="0" w:after="0" w:lineRule="auto" w:line="240"/>
              <w:jc w:val="left"/>
              <w:rPr>
                <w:rFonts w:eastAsia="Times New Roman"/>
                <w:color w:val="000000"/>
                <w:szCs w:val="24"/>
              </w:rPr>
            </w:pPr>
          </w:p>
        </w:tc>
      </w:tr>
      <w:tr>
        <w:tblPrEx/>
        <w:trPr>
          <w:trHeight w:val="301" w:hRule="atLeast"/>
        </w:trPr>
        <w:tc>
          <w:tcPr>
            <w:tcW w:w="434" w:type="pct"/>
            <w:vMerge w:val="continue"/>
            <w:tcBorders/>
            <w:shd w:val="clear" w:color="auto" w:fill="auto"/>
            <w:noWrap/>
            <w:vAlign w:val="bottom"/>
          </w:tcPr>
          <w:p>
            <w:pPr>
              <w:pStyle w:val="style0"/>
              <w:spacing w:before="0" w:after="0" w:lineRule="auto" w:line="240"/>
              <w:jc w:val="right"/>
              <w:rPr>
                <w:rFonts w:eastAsia="Times New Roman"/>
                <w:b/>
                <w:color w:val="000000"/>
                <w:szCs w:val="24"/>
              </w:rPr>
            </w:pPr>
          </w:p>
        </w:tc>
        <w:tc>
          <w:tcPr>
            <w:tcW w:w="944" w:type="pct"/>
            <w:vMerge w:val="continue"/>
            <w:tcBorders/>
          </w:tcPr>
          <w:p>
            <w:pPr>
              <w:pStyle w:val="style0"/>
              <w:spacing w:before="0" w:after="0" w:lineRule="auto" w:line="240"/>
              <w:jc w:val="left"/>
              <w:rPr>
                <w:rFonts w:eastAsia="Times New Roman"/>
                <w:color w:val="000000"/>
                <w:szCs w:val="24"/>
              </w:rPr>
            </w:pPr>
          </w:p>
        </w:tc>
        <w:tc>
          <w:tcPr>
            <w:tcW w:w="507" w:type="pct"/>
            <w:tcBorders/>
            <w:shd w:val="clear" w:color="auto" w:fill="auto"/>
            <w:noWrap/>
            <w:vAlign w:val="bottom"/>
          </w:tcPr>
          <w:p>
            <w:pPr>
              <w:pStyle w:val="style0"/>
              <w:spacing w:before="0" w:after="0" w:lineRule="auto" w:line="240"/>
              <w:jc w:val="left"/>
              <w:rPr>
                <w:rFonts w:eastAsia="Times New Roman"/>
                <w:b/>
                <w:color w:val="000000"/>
                <w:szCs w:val="24"/>
              </w:rPr>
            </w:pPr>
            <w:r>
              <w:rPr>
                <w:rFonts w:eastAsia="Times New Roman"/>
                <w:color w:val="000000"/>
                <w:szCs w:val="24"/>
              </w:rPr>
              <w:t>3</w:t>
            </w:r>
            <w:r>
              <w:rPr>
                <w:rFonts w:eastAsia="Times New Roman"/>
                <w:color w:val="000000"/>
                <w:szCs w:val="24"/>
                <w:vertAlign w:val="superscript"/>
              </w:rPr>
              <w:t>rd</w:t>
            </w:r>
            <w:r>
              <w:rPr>
                <w:rFonts w:eastAsia="Times New Roman"/>
                <w:color w:val="000000"/>
                <w:szCs w:val="24"/>
              </w:rPr>
              <w:t xml:space="preserve"> </w:t>
            </w:r>
            <w:r>
              <w:rPr>
                <w:rFonts w:eastAsia="Times New Roman"/>
                <w:color w:val="000000"/>
                <w:szCs w:val="24"/>
              </w:rPr>
              <w:t xml:space="preserve">Term </w:t>
            </w:r>
          </w:p>
        </w:tc>
        <w:tc>
          <w:tcPr>
            <w:tcW w:w="481" w:type="pct"/>
            <w:tcBorders/>
            <w:shd w:val="clear" w:color="auto" w:fill="auto"/>
            <w:noWrap/>
            <w:vAlign w:val="bottom"/>
          </w:tcPr>
          <w:p>
            <w:pPr>
              <w:pStyle w:val="style0"/>
              <w:spacing w:before="0" w:after="0" w:lineRule="auto" w:line="240"/>
              <w:jc w:val="left"/>
              <w:rPr>
                <w:rFonts w:eastAsia="Times New Roman"/>
                <w:b/>
                <w:color w:val="000000"/>
                <w:szCs w:val="24"/>
              </w:rPr>
            </w:pPr>
          </w:p>
        </w:tc>
        <w:tc>
          <w:tcPr>
            <w:tcW w:w="681" w:type="pct"/>
            <w:tcBorders/>
            <w:shd w:val="clear" w:color="auto" w:fill="auto"/>
            <w:noWrap/>
            <w:vAlign w:val="bottom"/>
          </w:tcPr>
          <w:p>
            <w:pPr>
              <w:pStyle w:val="style0"/>
              <w:spacing w:before="0" w:after="0" w:lineRule="auto" w:line="240"/>
              <w:jc w:val="left"/>
              <w:rPr>
                <w:rFonts w:eastAsia="Times New Roman"/>
                <w:b/>
                <w:color w:val="000000"/>
                <w:szCs w:val="24"/>
              </w:rPr>
            </w:pPr>
          </w:p>
        </w:tc>
        <w:tc>
          <w:tcPr>
            <w:tcW w:w="681" w:type="pct"/>
            <w:tcBorders/>
            <w:shd w:val="clear" w:color="auto" w:fill="auto"/>
            <w:noWrap/>
            <w:vAlign w:val="bottom"/>
          </w:tcPr>
          <w:p>
            <w:pPr>
              <w:pStyle w:val="style0"/>
              <w:spacing w:before="0" w:after="0" w:lineRule="auto" w:line="240"/>
              <w:jc w:val="left"/>
              <w:rPr>
                <w:rFonts w:eastAsia="Times New Roman"/>
                <w:b/>
                <w:color w:val="000000"/>
                <w:szCs w:val="24"/>
              </w:rPr>
            </w:pPr>
          </w:p>
        </w:tc>
        <w:tc>
          <w:tcPr>
            <w:tcW w:w="681" w:type="pct"/>
            <w:tcBorders/>
            <w:shd w:val="clear" w:color="auto" w:fill="auto"/>
            <w:noWrap/>
            <w:vAlign w:val="bottom"/>
          </w:tcPr>
          <w:p>
            <w:pPr>
              <w:pStyle w:val="style0"/>
              <w:spacing w:before="0" w:after="0" w:lineRule="auto" w:line="240"/>
              <w:jc w:val="left"/>
              <w:rPr>
                <w:rFonts w:eastAsia="Times New Roman"/>
                <w:b/>
                <w:color w:val="000000"/>
                <w:szCs w:val="24"/>
              </w:rPr>
            </w:pPr>
          </w:p>
        </w:tc>
        <w:tc>
          <w:tcPr>
            <w:tcW w:w="592" w:type="pct"/>
            <w:tcBorders/>
            <w:shd w:val="clear" w:color="auto" w:fill="auto"/>
            <w:noWrap/>
            <w:vAlign w:val="bottom"/>
          </w:tcPr>
          <w:p>
            <w:pPr>
              <w:pStyle w:val="style0"/>
              <w:spacing w:before="0" w:after="0" w:lineRule="auto" w:line="240"/>
              <w:jc w:val="left"/>
              <w:rPr>
                <w:rFonts w:eastAsia="Times New Roman"/>
                <w:b/>
                <w:color w:val="000000"/>
                <w:szCs w:val="24"/>
              </w:rPr>
            </w:pPr>
          </w:p>
        </w:tc>
      </w:tr>
      <w:tr>
        <w:tblPrEx/>
        <w:trPr>
          <w:trHeight w:val="301" w:hRule="atLeast"/>
        </w:trPr>
        <w:tc>
          <w:tcPr>
            <w:tcW w:w="434" w:type="pct"/>
            <w:vMerge w:val="restart"/>
            <w:tcBorders/>
            <w:shd w:val="clear" w:color="auto" w:fill="auto"/>
            <w:noWrap/>
            <w:vAlign w:val="bottom"/>
            <w:hideMark/>
          </w:tcPr>
          <w:p>
            <w:pPr>
              <w:pStyle w:val="style0"/>
              <w:spacing w:before="0" w:after="0" w:lineRule="auto" w:line="240"/>
              <w:jc w:val="right"/>
              <w:rPr>
                <w:rFonts w:eastAsia="Times New Roman"/>
                <w:color w:val="000000"/>
                <w:szCs w:val="24"/>
              </w:rPr>
            </w:pPr>
            <w:r>
              <w:rPr>
                <w:rFonts w:eastAsia="Times New Roman"/>
                <w:color w:val="000000"/>
                <w:szCs w:val="24"/>
              </w:rPr>
              <w:t>201</w:t>
            </w:r>
            <w:r>
              <w:rPr>
                <w:rFonts w:eastAsia="Times New Roman"/>
                <w:color w:val="000000"/>
                <w:szCs w:val="24"/>
              </w:rPr>
              <w:t>8</w:t>
            </w:r>
          </w:p>
          <w:p>
            <w:pPr>
              <w:pStyle w:val="style0"/>
              <w:spacing w:before="0" w:after="0" w:lineRule="auto" w:line="240"/>
              <w:jc w:val="left"/>
              <w:rPr>
                <w:rFonts w:eastAsia="Times New Roman"/>
                <w:color w:val="000000"/>
                <w:szCs w:val="24"/>
              </w:rPr>
            </w:pPr>
            <w:r>
              <w:rPr>
                <w:rFonts w:eastAsia="Times New Roman"/>
                <w:color w:val="000000"/>
                <w:szCs w:val="24"/>
              </w:rPr>
              <w:t> </w:t>
            </w:r>
          </w:p>
        </w:tc>
        <w:tc>
          <w:tcPr>
            <w:tcW w:w="944" w:type="pct"/>
            <w:vMerge w:val="restart"/>
            <w:tcBorders/>
          </w:tcPr>
          <w:p>
            <w:pPr>
              <w:pStyle w:val="style0"/>
              <w:spacing w:before="0" w:after="0" w:lineRule="auto" w:line="240"/>
              <w:jc w:val="left"/>
              <w:rPr>
                <w:rFonts w:eastAsia="Times New Roman"/>
                <w:color w:val="000000"/>
                <w:szCs w:val="24"/>
              </w:rPr>
            </w:pPr>
            <w:r>
              <w:rPr>
                <w:rFonts w:cs="Times New Roman"/>
                <w:szCs w:val="24"/>
              </w:rPr>
              <w:t>Social subjects</w:t>
            </w: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1</w:t>
            </w:r>
            <w:r>
              <w:rPr>
                <w:rFonts w:eastAsia="Times New Roman"/>
                <w:color w:val="000000"/>
                <w:szCs w:val="24"/>
                <w:vertAlign w:val="superscript"/>
              </w:rPr>
              <w:t>st</w:t>
            </w:r>
            <w:r>
              <w:rPr>
                <w:rFonts w:eastAsia="Times New Roman"/>
                <w:color w:val="000000"/>
                <w:szCs w:val="24"/>
              </w:rPr>
              <w:t xml:space="preserve"> </w:t>
            </w:r>
            <w:r>
              <w:rPr>
                <w:rFonts w:eastAsia="Times New Roman"/>
                <w:color w:val="000000"/>
                <w:szCs w:val="24"/>
              </w:rPr>
              <w:t>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p>
            <w:pPr>
              <w:pStyle w:val="style0"/>
              <w:spacing w:before="0" w:after="0" w:lineRule="auto" w:line="240"/>
              <w:jc w:val="left"/>
              <w:rPr>
                <w:rFonts w:eastAsia="Times New Roman"/>
                <w:color w:val="000000"/>
                <w:szCs w:val="24"/>
              </w:rPr>
            </w:pPr>
          </w:p>
          <w:p>
            <w:pPr>
              <w:pStyle w:val="style0"/>
              <w:spacing w:before="0" w:after="0" w:lineRule="auto" w:line="240"/>
              <w:jc w:val="left"/>
              <w:rPr>
                <w:rFonts w:eastAsia="Times New Roman"/>
                <w:color w:val="000000"/>
                <w:szCs w:val="24"/>
              </w:rPr>
            </w:pP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r>
      <w:tr>
        <w:tblPrEx/>
        <w:trPr>
          <w:trHeight w:val="301" w:hRule="atLeast"/>
        </w:trPr>
        <w:tc>
          <w:tcPr>
            <w:tcW w:w="434" w:type="pct"/>
            <w:vMerge w:val="continue"/>
            <w:tcBorders/>
            <w:shd w:val="clear" w:color="auto" w:fill="auto"/>
            <w:noWrap/>
            <w:vAlign w:val="bottom"/>
            <w:hideMark/>
          </w:tcPr>
          <w:p>
            <w:pPr>
              <w:pStyle w:val="style0"/>
              <w:spacing w:before="0" w:after="0" w:lineRule="auto" w:line="240"/>
              <w:jc w:val="left"/>
              <w:rPr>
                <w:rFonts w:eastAsia="Times New Roman"/>
                <w:color w:val="000000"/>
                <w:szCs w:val="24"/>
              </w:rPr>
            </w:pPr>
          </w:p>
        </w:tc>
        <w:tc>
          <w:tcPr>
            <w:tcW w:w="944" w:type="pct"/>
            <w:vMerge w:val="continue"/>
            <w:tcBorders/>
          </w:tcPr>
          <w:p>
            <w:pPr>
              <w:pStyle w:val="style0"/>
              <w:spacing w:before="0" w:after="0" w:lineRule="auto" w:line="240"/>
              <w:jc w:val="left"/>
              <w:rPr>
                <w:rFonts w:eastAsia="Times New Roman"/>
                <w:color w:val="000000"/>
                <w:szCs w:val="24"/>
              </w:rPr>
            </w:pP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2</w:t>
            </w:r>
            <w:r>
              <w:rPr>
                <w:rFonts w:eastAsia="Times New Roman"/>
                <w:color w:val="000000"/>
                <w:szCs w:val="24"/>
                <w:vertAlign w:val="superscript"/>
              </w:rPr>
              <w:t>nd</w:t>
            </w:r>
            <w:r>
              <w:rPr>
                <w:rFonts w:eastAsia="Times New Roman"/>
                <w:color w:val="000000"/>
                <w:szCs w:val="24"/>
              </w:rPr>
              <w:t xml:space="preserve"> </w:t>
            </w:r>
            <w:r>
              <w:rPr>
                <w:rFonts w:eastAsia="Times New Roman"/>
                <w:color w:val="000000"/>
                <w:szCs w:val="24"/>
              </w:rPr>
              <w:t>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r>
      <w:tr>
        <w:tblPrEx/>
        <w:trPr>
          <w:trHeight w:val="301" w:hRule="atLeast"/>
        </w:trPr>
        <w:tc>
          <w:tcPr>
            <w:tcW w:w="434" w:type="pct"/>
            <w:vMerge w:val="continue"/>
            <w:tcBorders/>
            <w:shd w:val="clear" w:color="auto" w:fill="auto"/>
            <w:noWrap/>
            <w:vAlign w:val="bottom"/>
            <w:hideMark/>
          </w:tcPr>
          <w:p>
            <w:pPr>
              <w:pStyle w:val="style0"/>
              <w:spacing w:before="0" w:after="0" w:lineRule="auto" w:line="240"/>
              <w:jc w:val="left"/>
              <w:rPr>
                <w:rFonts w:eastAsia="Times New Roman"/>
                <w:color w:val="000000"/>
                <w:szCs w:val="24"/>
              </w:rPr>
            </w:pPr>
          </w:p>
        </w:tc>
        <w:tc>
          <w:tcPr>
            <w:tcW w:w="944" w:type="pct"/>
            <w:vMerge w:val="continue"/>
            <w:tcBorders/>
          </w:tcPr>
          <w:p>
            <w:pPr>
              <w:pStyle w:val="style0"/>
              <w:spacing w:before="0" w:after="0" w:lineRule="auto" w:line="240"/>
              <w:jc w:val="left"/>
              <w:rPr>
                <w:rFonts w:eastAsia="Times New Roman"/>
                <w:color w:val="000000"/>
                <w:szCs w:val="24"/>
              </w:rPr>
            </w:pPr>
          </w:p>
        </w:tc>
        <w:tc>
          <w:tcPr>
            <w:tcW w:w="507"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3</w:t>
            </w:r>
            <w:r>
              <w:rPr>
                <w:rFonts w:eastAsia="Times New Roman"/>
                <w:color w:val="000000"/>
                <w:szCs w:val="24"/>
                <w:vertAlign w:val="superscript"/>
              </w:rPr>
              <w:t>rd</w:t>
            </w:r>
            <w:r>
              <w:rPr>
                <w:rFonts w:eastAsia="Times New Roman"/>
                <w:color w:val="000000"/>
                <w:szCs w:val="24"/>
              </w:rPr>
              <w:t xml:space="preserve"> </w:t>
            </w:r>
            <w:r>
              <w:rPr>
                <w:rFonts w:eastAsia="Times New Roman"/>
                <w:color w:val="000000"/>
                <w:szCs w:val="24"/>
              </w:rPr>
              <w:t>Term</w:t>
            </w:r>
          </w:p>
        </w:tc>
        <w:tc>
          <w:tcPr>
            <w:tcW w:w="4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681"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c>
          <w:tcPr>
            <w:tcW w:w="592" w:type="pct"/>
            <w:tcBorders/>
            <w:shd w:val="clear" w:color="auto" w:fill="auto"/>
            <w:noWrap/>
            <w:vAlign w:val="bottom"/>
            <w:hideMark/>
          </w:tcPr>
          <w:p>
            <w:pPr>
              <w:pStyle w:val="style0"/>
              <w:spacing w:before="0" w:after="0" w:lineRule="auto" w:line="240"/>
              <w:jc w:val="left"/>
              <w:rPr>
                <w:rFonts w:eastAsia="Times New Roman"/>
                <w:color w:val="000000"/>
                <w:szCs w:val="24"/>
              </w:rPr>
            </w:pPr>
            <w:r>
              <w:rPr>
                <w:rFonts w:eastAsia="Times New Roman"/>
                <w:color w:val="000000"/>
                <w:szCs w:val="24"/>
              </w:rPr>
              <w:t> </w:t>
            </w:r>
          </w:p>
        </w:tc>
      </w:tr>
    </w:tbl>
    <w:p>
      <w:pPr>
        <w:pStyle w:val="style0"/>
        <w:rPr/>
      </w:pPr>
    </w:p>
    <w:p>
      <w:pPr>
        <w:pStyle w:val="style0"/>
        <w:rPr/>
      </w:pPr>
      <w:r>
        <w:t xml:space="preserve">How are </w:t>
      </w:r>
      <w:r>
        <w:t xml:space="preserve">the </w:t>
      </w:r>
      <w:r>
        <w:t xml:space="preserve">students performing in </w:t>
      </w:r>
      <w:r>
        <w:rPr>
          <w:rFonts w:cs="Times New Roman"/>
          <w:szCs w:val="24"/>
        </w:rPr>
        <w:t>class</w:t>
      </w:r>
      <w:r>
        <w:rPr>
          <w:rFonts w:cs="Times New Roman"/>
          <w:szCs w:val="24"/>
        </w:rPr>
        <w:t xml:space="preserve"> and co-curriculum activities?</w:t>
      </w:r>
    </w:p>
    <w:p>
      <w:pPr>
        <w:pStyle w:val="style0"/>
        <w:tabs>
          <w:tab w:val="left" w:leader="none" w:pos="1560"/>
        </w:tabs>
        <w:rPr>
          <w:rFonts w:cs="Times New Roman"/>
          <w:szCs w:val="24"/>
        </w:rPr>
      </w:pPr>
      <w:r>
        <w:rPr>
          <w:rFonts w:cs="Times New Roman"/>
          <w:szCs w:val="24"/>
        </w:rPr>
        <w:t>……………………………………………………………………………………………………………………………………………………………………………………………………</w:t>
      </w:r>
    </w:p>
    <w:p>
      <w:pPr>
        <w:pStyle w:val="style0"/>
        <w:rPr/>
      </w:pPr>
    </w:p>
    <w:bookmarkStart w:id="265" w:name="_Toc41738428"/>
    <w:bookmarkStart w:id="266" w:name="_Toc143797183"/>
    <w:bookmarkStart w:id="267" w:name="_Toc144196167"/>
    <w:bookmarkStart w:id="268" w:name="_Toc144197273"/>
    <w:bookmarkStart w:id="269" w:name="_Toc144197410"/>
    <w:bookmarkStart w:id="270" w:name="_Toc144283226"/>
    <w:p>
      <w:pPr>
        <w:pStyle w:val="style2"/>
        <w:rPr/>
      </w:pPr>
      <w:r>
        <w:t>Appendix V: Interview Guide Questions</w:t>
      </w:r>
      <w:bookmarkEnd w:id="264"/>
      <w:r>
        <w:t xml:space="preserve"> for Head Teachers</w:t>
      </w:r>
      <w:bookmarkEnd w:id="265"/>
      <w:bookmarkEnd w:id="266"/>
      <w:bookmarkEnd w:id="267"/>
      <w:bookmarkEnd w:id="268"/>
      <w:bookmarkEnd w:id="269"/>
      <w:bookmarkEnd w:id="270"/>
    </w:p>
    <w:p>
      <w:pPr>
        <w:pStyle w:val="style0"/>
        <w:spacing w:before="0" w:after="0"/>
        <w:rPr>
          <w:szCs w:val="24"/>
        </w:rPr>
      </w:pPr>
      <w:r>
        <w:rPr>
          <w:szCs w:val="24"/>
        </w:rPr>
        <w:t xml:space="preserve">This interview guide is aimed at gathering information about </w:t>
      </w:r>
      <w:r>
        <w:t xml:space="preserve">to establish the </w:t>
      </w:r>
      <w:r>
        <w:rPr>
          <w:shd w:val="clear" w:color="auto" w:fill="ffffff"/>
        </w:rPr>
        <w:t>effect of socioeconomic</w:t>
      </w:r>
      <w:r>
        <w:rPr>
          <w:shd w:val="clear" w:color="auto" w:fill="ffffff"/>
        </w:rPr>
        <w:t xml:space="preserve"> factors on academic achievement in Karaba Zone,</w:t>
      </w:r>
      <w:r>
        <w:rPr>
          <w:shd w:val="clear" w:color="auto" w:fill="ffffff"/>
        </w:rPr>
        <w:t xml:space="preserve"> </w:t>
      </w:r>
      <w:r>
        <w:rPr>
          <w:shd w:val="clear" w:color="auto" w:fill="ffffff"/>
        </w:rPr>
        <w:t>Mbeere</w:t>
      </w:r>
      <w:r>
        <w:rPr>
          <w:shd w:val="clear" w:color="auto" w:fill="ffffff"/>
        </w:rPr>
        <w:t xml:space="preserve"> </w:t>
      </w:r>
      <w:r>
        <w:rPr>
          <w:shd w:val="clear" w:color="auto" w:fill="ffffff"/>
        </w:rPr>
        <w:t>South</w:t>
      </w:r>
      <w:r>
        <w:rPr>
          <w:shd w:val="clear" w:color="auto" w:fill="ffffff"/>
        </w:rPr>
        <w:t xml:space="preserve"> </w:t>
      </w:r>
      <w:r>
        <w:rPr>
          <w:shd w:val="clear" w:color="auto" w:fill="ffffff"/>
        </w:rPr>
        <w:t>Sub-county</w:t>
      </w:r>
      <w:r>
        <w:rPr>
          <w:b/>
          <w:bCs/>
          <w:iCs/>
          <w:szCs w:val="24"/>
        </w:rPr>
        <w:t>.</w:t>
      </w:r>
      <w:r>
        <w:rPr>
          <w:b/>
          <w:bCs/>
          <w:iCs/>
          <w:szCs w:val="24"/>
        </w:rPr>
        <w:t xml:space="preserve"> </w:t>
      </w:r>
      <w:r>
        <w:rPr>
          <w:szCs w:val="24"/>
        </w:rPr>
        <w:t xml:space="preserve">Confidentiality of the data will be maintained. </w:t>
      </w:r>
    </w:p>
    <w:p>
      <w:pPr>
        <w:pStyle w:val="style157"/>
        <w:numPr>
          <w:ilvl w:val="0"/>
          <w:numId w:val="12"/>
        </w:numPr>
        <w:spacing w:lineRule="auto" w:line="480"/>
        <w:rPr/>
      </w:pPr>
      <w:r>
        <w:t>What are some of socio</w:t>
      </w:r>
      <w:r>
        <w:t xml:space="preserve">economic </w:t>
      </w:r>
      <w:r>
        <w:t>issues</w:t>
      </w:r>
      <w:r>
        <w:t xml:space="preserve"> affecting the </w:t>
      </w:r>
      <w:r>
        <w:t>academic achievement</w:t>
      </w:r>
      <w:r>
        <w:t xml:space="preserve"> of pupils in your school?</w:t>
      </w:r>
    </w:p>
    <w:p>
      <w:pPr>
        <w:pStyle w:val="style157"/>
        <w:spacing w:lineRule="auto" w:line="480"/>
        <w:ind w:left="360"/>
        <w:rPr/>
      </w:pPr>
      <w:r>
        <w:t xml:space="preserve">……………………………………………………………………………………In your own opinion, do you think the level of </w:t>
      </w:r>
      <w:r>
        <w:t>parents’</w:t>
      </w:r>
      <w:r>
        <w:t xml:space="preserve"> income for </w:t>
      </w:r>
      <w:r>
        <w:t>impact</w:t>
      </w:r>
      <w:r>
        <w:t xml:space="preserve"> </w:t>
      </w:r>
      <w:r>
        <w:t>the</w:t>
      </w:r>
      <w:r>
        <w:rPr>
          <w:shd w:val="clear" w:color="auto" w:fill="ffffff"/>
        </w:rPr>
        <w:t xml:space="preserve"> academic</w:t>
      </w:r>
      <w:r>
        <w:rPr>
          <w:shd w:val="clear" w:color="auto" w:fill="ffffff"/>
        </w:rPr>
        <w:t xml:space="preserve"> </w:t>
      </w:r>
      <w:r>
        <w:rPr>
          <w:shd w:val="clear" w:color="auto" w:fill="ffffff"/>
        </w:rPr>
        <w:t>attainment</w:t>
      </w:r>
      <w:r>
        <w:rPr>
          <w:shd w:val="clear" w:color="auto" w:fill="ffffff"/>
        </w:rPr>
        <w:t xml:space="preserve"> </w:t>
      </w:r>
      <w:r>
        <w:rPr>
          <w:shd w:val="clear" w:color="auto" w:fill="ffffff"/>
        </w:rPr>
        <w:t xml:space="preserve">of </w:t>
      </w:r>
      <w:r>
        <w:rPr>
          <w:shd w:val="clear" w:color="auto" w:fill="ffffff"/>
        </w:rPr>
        <w:t>pupils in this school</w:t>
      </w:r>
      <w:r>
        <w:t xml:space="preserve">? Probe on low income, middle income and </w:t>
      </w:r>
      <w:r>
        <w:t>high income</w:t>
      </w:r>
      <w:r>
        <w:t xml:space="preserve"> </w:t>
      </w:r>
      <w:r>
        <w:t>parents and their ability</w:t>
      </w:r>
      <w:r>
        <w:t xml:space="preserve"> </w:t>
      </w:r>
      <w:r>
        <w:rPr>
          <w:rFonts w:eastAsia="Times New Roman"/>
        </w:rPr>
        <w:t>providing paying fees, acquiring stationary, paying for tour and remedial fees</w:t>
      </w:r>
    </w:p>
    <w:p>
      <w:pPr>
        <w:pStyle w:val="style157"/>
        <w:spacing w:lineRule="auto" w:line="480"/>
        <w:ind w:left="360"/>
        <w:rPr/>
      </w:pPr>
      <w:r>
        <w:t>……………………………………………………………………………………</w:t>
      </w:r>
    </w:p>
    <w:p>
      <w:pPr>
        <w:pStyle w:val="style157"/>
        <w:numPr>
          <w:ilvl w:val="0"/>
          <w:numId w:val="12"/>
        </w:numPr>
        <w:spacing w:lineRule="auto" w:line="480"/>
        <w:jc w:val="both"/>
        <w:rPr/>
      </w:pPr>
      <w:r>
        <w:t xml:space="preserve">In your own opinion, do you think family size affect </w:t>
      </w:r>
      <w:r>
        <w:t>the</w:t>
      </w:r>
      <w:r>
        <w:rPr>
          <w:shd w:val="clear" w:color="auto" w:fill="ffffff"/>
        </w:rPr>
        <w:t xml:space="preserve"> academic</w:t>
      </w:r>
      <w:r>
        <w:rPr>
          <w:shd w:val="clear" w:color="auto" w:fill="ffffff"/>
        </w:rPr>
        <w:t xml:space="preserve"> achievement</w:t>
      </w:r>
      <w:r>
        <w:rPr>
          <w:shd w:val="clear" w:color="auto" w:fill="ffffff"/>
        </w:rPr>
        <w:t xml:space="preserve"> </w:t>
      </w:r>
      <w:r>
        <w:rPr>
          <w:shd w:val="clear" w:color="auto" w:fill="ffffff"/>
        </w:rPr>
        <w:t>in</w:t>
      </w:r>
      <w:r>
        <w:rPr>
          <w:shd w:val="clear" w:color="auto" w:fill="ffffff"/>
        </w:rPr>
        <w:t xml:space="preserve"> primary schools in Karaba Zone, </w:t>
      </w:r>
      <w:r>
        <w:rPr>
          <w:shd w:val="clear" w:color="auto" w:fill="ffffff"/>
        </w:rPr>
        <w:t>Mbeere</w:t>
      </w:r>
      <w:r>
        <w:rPr>
          <w:shd w:val="clear" w:color="auto" w:fill="ffffff"/>
        </w:rPr>
        <w:t xml:space="preserve"> </w:t>
      </w:r>
      <w:r>
        <w:rPr>
          <w:shd w:val="clear" w:color="auto" w:fill="ffffff"/>
        </w:rPr>
        <w:t>South</w:t>
      </w:r>
      <w:r>
        <w:rPr>
          <w:shd w:val="clear" w:color="auto" w:fill="ffffff"/>
        </w:rPr>
        <w:t xml:space="preserve"> </w:t>
      </w:r>
      <w:r>
        <w:rPr>
          <w:shd w:val="clear" w:color="auto" w:fill="ffffff"/>
        </w:rPr>
        <w:t>Sub-county</w:t>
      </w:r>
      <w:r>
        <w:t>? Probe on large, medium and small family sizes.</w:t>
      </w:r>
      <w:r>
        <w:t xml:space="preserve"> How are the parents/</w:t>
      </w:r>
      <w:r>
        <w:t>guardians</w:t>
      </w:r>
      <w:r>
        <w:t xml:space="preserve"> with more than one child able to provide the needs of the child in school including</w:t>
      </w:r>
      <w:r>
        <w:t xml:space="preserve"> </w:t>
      </w:r>
      <w:r>
        <w:rPr>
          <w:rFonts w:eastAsia="Times New Roman"/>
        </w:rPr>
        <w:t>paying fees, acquiring stationary, paying for tour and remedial fees?</w:t>
      </w:r>
    </w:p>
    <w:p>
      <w:pPr>
        <w:pStyle w:val="style157"/>
        <w:spacing w:lineRule="auto" w:line="480"/>
        <w:ind w:left="360"/>
        <w:rPr/>
      </w:pPr>
      <w:r>
        <w:t>…………………………………………………………………………………………………………………………………………………………………………</w:t>
      </w:r>
    </w:p>
    <w:p>
      <w:pPr>
        <w:pStyle w:val="style157"/>
        <w:numPr>
          <w:ilvl w:val="0"/>
          <w:numId w:val="12"/>
        </w:numPr>
        <w:spacing w:lineRule="auto" w:line="480"/>
        <w:rPr/>
      </w:pPr>
      <w:r>
        <w:t>D</w:t>
      </w:r>
      <w:r>
        <w:t>o you think parents’ education</w:t>
      </w:r>
      <w:r>
        <w:t xml:space="preserve"> level</w:t>
      </w:r>
      <w:r>
        <w:t xml:space="preserve"> </w:t>
      </w:r>
      <w:r>
        <w:t>affect</w:t>
      </w:r>
      <w:r>
        <w:t>s</w:t>
      </w:r>
      <w:r>
        <w:t xml:space="preserve"> </w:t>
      </w:r>
      <w:r>
        <w:rPr>
          <w:shd w:val="clear" w:color="auto" w:fill="ffffff"/>
        </w:rPr>
        <w:t>academic achievement</w:t>
      </w:r>
      <w:r>
        <w:rPr>
          <w:shd w:val="clear" w:color="auto" w:fill="ffffff"/>
        </w:rPr>
        <w:t xml:space="preserve"> </w:t>
      </w:r>
      <w:r>
        <w:rPr>
          <w:shd w:val="clear" w:color="auto" w:fill="ffffff"/>
        </w:rPr>
        <w:t>in</w:t>
      </w:r>
      <w:r>
        <w:rPr>
          <w:shd w:val="clear" w:color="auto" w:fill="ffffff"/>
        </w:rPr>
        <w:t xml:space="preserve"> primary schools in Karaba Zone, </w:t>
      </w:r>
      <w:r>
        <w:rPr>
          <w:shd w:val="clear" w:color="auto" w:fill="ffffff"/>
        </w:rPr>
        <w:t>Mbeere</w:t>
      </w:r>
      <w:r>
        <w:rPr>
          <w:shd w:val="clear" w:color="auto" w:fill="ffffff"/>
        </w:rPr>
        <w:t xml:space="preserve"> </w:t>
      </w:r>
      <w:r>
        <w:rPr>
          <w:shd w:val="clear" w:color="auto" w:fill="ffffff"/>
        </w:rPr>
        <w:t>South Sub- County</w:t>
      </w:r>
      <w:r>
        <w:t>? Probe</w:t>
      </w:r>
      <w:r>
        <w:t xml:space="preserve"> on the attention of literate parents/guardians on their child/children academic progress </w:t>
      </w:r>
      <w:r>
        <w:t xml:space="preserve">  …………………………………………………………………………………………</w:t>
      </w:r>
    </w:p>
    <w:p>
      <w:pPr>
        <w:pStyle w:val="style157"/>
        <w:spacing w:before="120" w:after="120" w:lineRule="auto" w:line="480"/>
        <w:jc w:val="center"/>
        <w:rPr>
          <w:b/>
        </w:rPr>
      </w:pPr>
      <w:r>
        <w:rPr>
          <w:b/>
        </w:rPr>
        <w:t>THANK YOU FOR PARTICIPATING</w:t>
      </w:r>
    </w:p>
    <w:bookmarkStart w:id="271" w:name="_Toc38466814"/>
    <w:bookmarkStart w:id="272" w:name="_Toc41738431"/>
    <w:bookmarkStart w:id="273" w:name="_Toc143797184"/>
    <w:bookmarkStart w:id="274" w:name="_Toc144196168"/>
    <w:bookmarkStart w:id="275" w:name="_Toc144197274"/>
    <w:bookmarkStart w:id="276" w:name="_Toc144197411"/>
    <w:bookmarkStart w:id="277" w:name="_Toc144283227"/>
    <w:p>
      <w:pPr>
        <w:pStyle w:val="style2"/>
        <w:rPr/>
      </w:pPr>
      <w:r>
        <w:t>Appendix VI: Sample Size Determination</w:t>
      </w:r>
      <w:bookmarkEnd w:id="271"/>
      <w:bookmarkEnd w:id="272"/>
      <w:bookmarkEnd w:id="273"/>
      <w:bookmarkEnd w:id="274"/>
      <w:bookmarkEnd w:id="275"/>
      <w:bookmarkEnd w:id="276"/>
      <w:bookmarkEnd w:id="277"/>
    </w:p>
    <w:p>
      <w:pPr>
        <w:pStyle w:val="style0"/>
        <w:rPr/>
      </w:pPr>
      <w:r>
        <w:rPr>
          <w:noProof/>
        </w:rPr>
        <w:drawing>
          <wp:inline distL="0" distT="0" distB="0" distR="0">
            <wp:extent cx="4781550" cy="5705475"/>
            <wp:effectExtent l="0" t="0" r="0" b="9525"/>
            <wp:docPr id="1048" name="Picture 26" descr="http://www.kenpro.org/wp-content/uploads/2013/08/krejcie-and-morgan-table-of-determining-sample-size.png"/>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26"/>
                    <pic:cNvPicPr/>
                  </pic:nvPicPr>
                  <pic:blipFill>
                    <a:blip r:embed="rId5" cstate="print"/>
                    <a:srcRect l="0" t="0" r="0" b="0"/>
                    <a:stretch/>
                  </pic:blipFill>
                  <pic:spPr>
                    <a:xfrm rot="0">
                      <a:off x="0" y="0"/>
                      <a:ext cx="4781550" cy="5705475"/>
                    </a:xfrm>
                    <a:prstGeom prst="rect"/>
                    <a:ln>
                      <a:noFill/>
                    </a:ln>
                  </pic:spPr>
                </pic:pic>
              </a:graphicData>
            </a:graphic>
          </wp:inline>
        </w:drawing>
      </w:r>
    </w:p>
    <w:p>
      <w:pPr>
        <w:pStyle w:val="style0"/>
        <w:rPr/>
      </w:pPr>
    </w:p>
    <w:p>
      <w:pPr>
        <w:pStyle w:val="style0"/>
        <w:rPr/>
      </w:pPr>
    </w:p>
    <w:p>
      <w:pPr>
        <w:pStyle w:val="style0"/>
        <w:rPr/>
      </w:pPr>
    </w:p>
    <w:p>
      <w:pPr>
        <w:pStyle w:val="style0"/>
        <w:rPr/>
      </w:pPr>
    </w:p>
    <w:p>
      <w:pPr>
        <w:pStyle w:val="style0"/>
        <w:rPr/>
      </w:pPr>
    </w:p>
    <w:p>
      <w:pPr>
        <w:pStyle w:val="style0"/>
        <w:rPr/>
      </w:pPr>
    </w:p>
    <w:bookmarkStart w:id="278" w:name="_Toc143797185"/>
    <w:bookmarkStart w:id="279" w:name="_Toc144196169"/>
    <w:bookmarkStart w:id="280" w:name="_Toc144197275"/>
    <w:bookmarkStart w:id="281" w:name="_Toc144197412"/>
    <w:bookmarkStart w:id="282" w:name="_Toc144283228"/>
    <w:p>
      <w:pPr>
        <w:pStyle w:val="style2"/>
        <w:rPr>
          <w:noProof/>
        </w:rPr>
      </w:pPr>
      <w:r>
        <w:rPr>
          <w:noProof/>
        </w:rPr>
        <w:drawing>
          <wp:anchor distT="0" distB="0" distL="114300" distR="114300" simplePos="false" relativeHeight="7" behindDoc="true" locked="false" layoutInCell="true" allowOverlap="true">
            <wp:simplePos x="0" y="0"/>
            <wp:positionH relativeFrom="column">
              <wp:posOffset>-165535</wp:posOffset>
            </wp:positionH>
            <wp:positionV relativeFrom="paragraph">
              <wp:posOffset>264828</wp:posOffset>
            </wp:positionV>
            <wp:extent cx="6322695" cy="8281034"/>
            <wp:effectExtent l="0" t="0" r="1905" b="5715"/>
            <wp:wrapTight wrapText="bothSides">
              <wp:wrapPolygon edited="false">
                <wp:start x="0" y="0"/>
                <wp:lineTo x="0" y="21565"/>
                <wp:lineTo x="21541" y="21565"/>
                <wp:lineTo x="21541" y="0"/>
                <wp:lineTo x="0" y="0"/>
              </wp:wrapPolygon>
            </wp:wrapTight>
            <wp:docPr id="1049" name="Picture 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cstate="print"/>
                    <a:srcRect l="6792" t="2755" r="7131" b="10133"/>
                    <a:stretch/>
                  </pic:blipFill>
                  <pic:spPr>
                    <a:xfrm rot="0">
                      <a:off x="0" y="0"/>
                      <a:ext cx="6322695" cy="8281034"/>
                    </a:xfrm>
                    <a:prstGeom prst="rect"/>
                    <a:ln>
                      <a:noFill/>
                    </a:ln>
                  </pic:spPr>
                </pic:pic>
              </a:graphicData>
            </a:graphic>
            <wp14:sizeRelH relativeFrom="page">
              <wp14:pctWidth>0</wp14:pctWidth>
            </wp14:sizeRelH>
            <wp14:sizeRelV relativeFrom="page">
              <wp14:pctHeight>0</wp14:pctHeight>
            </wp14:sizeRelV>
          </wp:anchor>
        </w:drawing>
      </w:r>
      <w:r>
        <w:t>Appendix VII: Research permit (NACOSTI)</w:t>
      </w:r>
      <w:bookmarkEnd w:id="278"/>
      <w:bookmarkEnd w:id="279"/>
      <w:bookmarkEnd w:id="280"/>
      <w:bookmarkEnd w:id="281"/>
      <w:bookmarkEnd w:id="282"/>
      <w:r>
        <w:rPr>
          <w:noProof/>
        </w:rPr>
        <w:tab/>
      </w:r>
    </w:p>
    <w:bookmarkStart w:id="283" w:name="_Toc143797186"/>
    <w:bookmarkStart w:id="284" w:name="_Toc144196170"/>
    <w:bookmarkStart w:id="285" w:name="_Toc144197276"/>
    <w:bookmarkStart w:id="286" w:name="_Toc144197413"/>
    <w:bookmarkStart w:id="287" w:name="_Toc144283229"/>
    <w:p>
      <w:pPr>
        <w:pStyle w:val="style0"/>
        <w:rPr/>
      </w:pPr>
    </w:p>
    <w:p>
      <w:pPr>
        <w:pStyle w:val="style2"/>
        <w:rPr/>
      </w:pPr>
      <w:r>
        <w:rPr>
          <w:noProof/>
        </w:rPr>
        <w:drawing>
          <wp:anchor distT="0" distB="0" distL="0" distR="0" simplePos="false" relativeHeight="10" behindDoc="true" locked="false" layoutInCell="true" allowOverlap="true">
            <wp:simplePos x="0" y="0"/>
            <wp:positionH relativeFrom="column">
              <wp:posOffset>-646430</wp:posOffset>
            </wp:positionH>
            <wp:positionV relativeFrom="paragraph">
              <wp:posOffset>426719</wp:posOffset>
            </wp:positionV>
            <wp:extent cx="5649595" cy="7791449"/>
            <wp:effectExtent l="0" t="0" r="8255" b="0"/>
            <wp:wrapNone/>
            <wp:docPr id="1050" name="Picture 2"/>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cstate="print"/>
                    <a:srcRect l="4586" t="5380" r="6621" b="0"/>
                    <a:stretch/>
                  </pic:blipFill>
                  <pic:spPr>
                    <a:xfrm rot="0">
                      <a:off x="0" y="0"/>
                      <a:ext cx="5649595" cy="7791449"/>
                    </a:xfrm>
                    <a:prstGeom prst="rect"/>
                    <a:ln>
                      <a:noFill/>
                    </a:ln>
                  </pic:spPr>
                </pic:pic>
              </a:graphicData>
            </a:graphic>
            <wp14:sizeRelH relativeFrom="page">
              <wp14:pctWidth>0</wp14:pctWidth>
            </wp14:sizeRelH>
            <wp14:sizeRelV relativeFrom="page">
              <wp14:pctHeight>0</wp14:pctHeight>
            </wp14:sizeRelV>
          </wp:anchor>
        </w:drawing>
      </w:r>
      <w:r>
        <w:t>Appendix VIII: Research Authorization</w:t>
      </w:r>
      <w:bookmarkEnd w:id="283"/>
      <w:bookmarkEnd w:id="284"/>
      <w:bookmarkEnd w:id="285"/>
      <w:bookmarkEnd w:id="286"/>
      <w:bookmarkEnd w:id="287"/>
      <w:r>
        <w:t xml:space="preserve"> </w:t>
      </w:r>
    </w:p>
    <w:p>
      <w:pPr>
        <w:pStyle w:val="style0"/>
        <w:rPr>
          <w:noProof/>
        </w:rPr>
      </w:pPr>
    </w:p>
    <w:bookmarkStart w:id="288" w:name="_Toc144196171"/>
    <w:bookmarkStart w:id="289" w:name="_Toc144197277"/>
    <w:bookmarkStart w:id="290" w:name="_Toc144197414"/>
    <w:bookmarkStart w:id="291" w:name="_Toc144283230"/>
    <w:p>
      <w:pPr>
        <w:pStyle w:val="style2"/>
        <w:rPr>
          <w:noProof/>
        </w:rPr>
      </w:pPr>
      <w:r>
        <w:t>Appendix IX: Approval of Research Proposal</w:t>
      </w:r>
      <w:bookmarkEnd w:id="288"/>
      <w:bookmarkEnd w:id="289"/>
      <w:bookmarkEnd w:id="290"/>
      <w:bookmarkEnd w:id="291"/>
    </w:p>
    <w:p>
      <w:pPr>
        <w:pStyle w:val="style0"/>
        <w:rPr>
          <w:noProof/>
        </w:rPr>
      </w:pPr>
      <w:r>
        <w:rPr>
          <w:noProof/>
        </w:rPr>
        <w:drawing>
          <wp:anchor distT="0" distB="0" distL="114300" distR="114300" simplePos="false" relativeHeight="8" behindDoc="false" locked="false" layoutInCell="true" allowOverlap="true">
            <wp:simplePos x="0" y="0"/>
            <wp:positionH relativeFrom="column">
              <wp:posOffset>-446404</wp:posOffset>
            </wp:positionH>
            <wp:positionV relativeFrom="paragraph">
              <wp:posOffset>-635</wp:posOffset>
            </wp:positionV>
            <wp:extent cx="6261100" cy="8102599"/>
            <wp:effectExtent l="0" t="0" r="6350" b="0"/>
            <wp:wrapSquare wrapText="bothSides"/>
            <wp:docPr id="1051" name="Picture 3"/>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cstate="print"/>
                    <a:srcRect l="0" t="0" r="0" b="0"/>
                    <a:stretch/>
                  </pic:blipFill>
                  <pic:spPr>
                    <a:xfrm rot="0">
                      <a:off x="0" y="0"/>
                      <a:ext cx="6261100" cy="8102599"/>
                    </a:xfrm>
                    <a:prstGeom prst="rect"/>
                  </pic:spPr>
                </pic:pic>
              </a:graphicData>
            </a:graphic>
            <wp14:sizeRelH relativeFrom="page">
              <wp14:pctWidth>0</wp14:pctWidth>
            </wp14:sizeRelH>
            <wp14:sizeRelV relativeFrom="page">
              <wp14:pctHeight>0</wp14:pctHeight>
            </wp14:sizeRelV>
          </wp:anchor>
        </w:drawing>
      </w:r>
    </w:p>
    <w:p>
      <w:pPr>
        <w:pStyle w:val="style0"/>
        <w:rPr>
          <w:noProof/>
        </w:rPr>
      </w:pPr>
      <w:r>
        <w:rPr>
          <w:noProof/>
        </w:rPr>
        <w:drawing>
          <wp:anchor distT="0" distB="0" distL="114300" distR="114300" simplePos="false" relativeHeight="9" behindDoc="false" locked="false" layoutInCell="true" allowOverlap="true">
            <wp:simplePos x="0" y="0"/>
            <wp:positionH relativeFrom="column">
              <wp:posOffset>0</wp:posOffset>
            </wp:positionH>
            <wp:positionV relativeFrom="paragraph">
              <wp:posOffset>36094</wp:posOffset>
            </wp:positionV>
            <wp:extent cx="5732145" cy="7418070"/>
            <wp:effectExtent l="0" t="0" r="1905" b="0"/>
            <wp:wrapSquare wrapText="bothSides"/>
            <wp:docPr id="1052" name="Pictur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cstate="print"/>
                    <a:srcRect l="0" t="0" r="0" b="0"/>
                    <a:stretch/>
                  </pic:blipFill>
                  <pic:spPr>
                    <a:xfrm rot="0">
                      <a:off x="0" y="0"/>
                      <a:ext cx="5732145" cy="7418070"/>
                    </a:xfrm>
                    <a:prstGeom prst="rect"/>
                  </pic:spPr>
                </pic:pic>
              </a:graphicData>
            </a:graphic>
            <wp14:sizeRelH relativeFrom="page">
              <wp14:pctWidth>0</wp14:pctWidth>
            </wp14:sizeRelH>
            <wp14:sizeRelV relativeFrom="page">
              <wp14:pctHeight>0</wp14:pctHeight>
            </wp14:sizeRelV>
          </wp:anchor>
        </w:drawing>
      </w:r>
    </w:p>
    <w:sectPr>
      <w:pgSz w:w="11907" w:h="16839" w:orient="portrait" w:code="9"/>
      <w:pgMar w:top="1418" w:right="1418" w:bottom="1418" w:left="2268" w:header="720" w:footer="720"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5B" w:usb2="00000009" w:usb3="00000000" w:csb0="000001FF" w:csb1="00000000"/>
  </w:font>
  <w:font w:name="Symbol">
    <w:altName w:val="Symbol"/>
    <w:panose1 w:val="05050102010007020507"/>
    <w:charset w:val="02"/>
    <w:family w:val="roman"/>
    <w:pitch w:val="variable"/>
    <w:sig w:usb0="00000000" w:usb1="10000000" w:usb2="00000000" w:usb3="00000000" w:csb0="80000000" w:csb1="00000000"/>
  </w:font>
  <w:font w:name="Courier New">
    <w:altName w:val="Courier New"/>
    <w:panose1 w:val="02070309020002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Calibri">
    <w:altName w:val="Calibri"/>
    <w:panose1 w:val="020f0502020002030204"/>
    <w:charset w:val="00"/>
    <w:family w:val="swiss"/>
    <w:pitch w:val="variable"/>
    <w:sig w:usb0="E4002EFF" w:usb1="C000247B" w:usb2="00000009" w:usb3="00000000" w:csb0="000001FF" w:csb1="00000000"/>
  </w:font>
  <w:font w:name="Segoe UI">
    <w:altName w:val="Segoe UI"/>
    <w:panose1 w:val="020b0502040002020203"/>
    <w:charset w:val="00"/>
    <w:family w:val="swiss"/>
    <w:pitch w:val="variable"/>
    <w:sig w:usb0="E4002EFF" w:usb1="C000E47F" w:usb2="00000009" w:usb3="00000000" w:csb0="000001FF" w:csb1="00000000"/>
  </w:font>
  <w:font w:name="Arial">
    <w:altName w:val="Arial"/>
    <w:panose1 w:val="020b0604020002020204"/>
    <w:charset w:val="00"/>
    <w:family w:val="swiss"/>
    <w:pitch w:val="variable"/>
    <w:sig w:usb0="E0002EFF" w:usb1="C000785B" w:usb2="00000009" w:usb3="00000000" w:csb0="000001FF" w:csb1="00000000"/>
  </w:font>
  <w:font w:name="Cambria">
    <w:altName w:val="Cambria"/>
    <w:panose1 w:val="02040503050004030204"/>
    <w:charset w:val="00"/>
    <w:family w:val="roman"/>
    <w:pitch w:val="variable"/>
    <w:sig w:usb0="E00006FF" w:usb1="420024FF" w:usb2="02000000" w:usb3="00000000" w:csb0="0000019F" w:csb1="0000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r>
      <w:rPr/>
      <w:fldChar w:fldCharType="begin"/>
    </w:r>
    <w:r>
      <w:instrText xml:space="preserve"> PAGE   \* MERGEFORMAT </w:instrText>
    </w:r>
    <w:r>
      <w:rPr/>
      <w:fldChar w:fldCharType="separate"/>
    </w:r>
    <w:r>
      <w:rPr>
        <w:noProof/>
      </w:rPr>
      <w:t>7</w:t>
    </w:r>
    <w:r>
      <w:rPr>
        <w:noProof/>
      </w:rPr>
      <w:fldChar w:fldCharType="end"/>
    </w:r>
  </w:p>
  <w:p>
    <w:pPr>
      <w:pStyle w:val="style32"/>
      <w:rPr/>
    </w:pP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rPr/>
    </w:pPr>
  </w:p>
  <w:p>
    <w:pPr>
      <w:pStyle w:val="style31"/>
      <w:rPr/>
    </w:pPr>
  </w:p>
  <w:p>
    <w:pPr>
      <w:pStyle w:val="style31"/>
      <w:tabs>
        <w:tab w:val="left" w:leader="none" w:pos="1900"/>
      </w:tabs>
      <w:rPr/>
    </w:pPr>
    <w:r>
      <w:tab/>
    </w:r>
  </w:p>
</w:hdr>
</file>

<file path=word/header3.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rPr/>
    </w:pPr>
  </w:p>
  <w:p>
    <w:pPr>
      <w:pStyle w:val="style31"/>
      <w:rPr/>
    </w:pPr>
  </w:p>
  <w:p>
    <w:pPr>
      <w:pStyle w:val="style31"/>
      <w:rPr/>
    </w:pPr>
  </w:p>
  <w:p>
    <w:pPr>
      <w:pStyle w:val="style3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94A621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1"/>
    <w:multiLevelType w:val="multilevel"/>
    <w:tmpl w:val="E34A3E16"/>
    <w:lvl w:ilvl="0">
      <w:start w:val="4"/>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0000002"/>
    <w:multiLevelType w:val="hybridMultilevel"/>
    <w:tmpl w:val="DABC010A"/>
    <w:lvl w:ilvl="0">
      <w:start w:val="1"/>
      <w:numFmt w:val="lowerRoman"/>
      <w:lvlText w:val="%1."/>
      <w:lvlJc w:val="righ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00000003"/>
    <w:multiLevelType w:val="hybridMultilevel"/>
    <w:tmpl w:val="88967B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4"/>
    <w:multiLevelType w:val="hybridMultilevel"/>
    <w:tmpl w:val="EB826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5"/>
    <w:multiLevelType w:val="hybridMultilevel"/>
    <w:tmpl w:val="CE6EE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6"/>
    <w:multiLevelType w:val="hybridMultilevel"/>
    <w:tmpl w:val="DABC010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7"/>
    <w:multiLevelType w:val="hybridMultilevel"/>
    <w:tmpl w:val="D5EC3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0000008"/>
    <w:multiLevelType w:val="hybridMultilevel"/>
    <w:tmpl w:val="71706D1C"/>
    <w:lvl w:ilvl="0" w:tplc="04090017">
      <w:start w:val="1"/>
      <w:numFmt w:val="lowerLetter"/>
      <w:lvlText w:val="%1)"/>
      <w:lvlJc w:val="left"/>
      <w:pPr>
        <w:tabs>
          <w:tab w:val="left" w:leader="none" w:pos="540"/>
        </w:tabs>
        <w:ind w:left="540" w:hanging="360"/>
      </w:pPr>
    </w:lvl>
    <w:lvl w:ilvl="1" w:tplc="4686E694">
      <w:start w:val="1"/>
      <w:numFmt w:val="lowerLetter"/>
      <w:lvlText w:val="%2)"/>
      <w:lvlJc w:val="left"/>
      <w:pPr>
        <w:tabs>
          <w:tab w:val="left" w:leader="none" w:pos="540"/>
        </w:tabs>
        <w:ind w:left="540" w:hanging="360"/>
      </w:pPr>
      <w:rPr>
        <w:rFonts w:hint="default"/>
      </w:rPr>
    </w:lvl>
    <w:lvl w:ilvl="2" w:tplc="0409001B">
      <w:start w:val="1"/>
      <w:numFmt w:val="decimal"/>
      <w:lvlText w:val="%3."/>
      <w:lvlJc w:val="left"/>
      <w:pPr>
        <w:tabs>
          <w:tab w:val="left" w:leader="none" w:pos="360"/>
        </w:tabs>
        <w:ind w:left="360" w:hanging="360"/>
      </w:pPr>
      <w:rPr>
        <w:rFonts w:hint="default"/>
      </w:rPr>
    </w:lvl>
    <w:lvl w:ilvl="3" w:tplc="53AE9D3C">
      <w:start w:val="1"/>
      <w:numFmt w:val="lowerLetter"/>
      <w:lvlText w:val="%4."/>
      <w:lvlJc w:val="left"/>
      <w:pPr>
        <w:ind w:left="2880" w:hanging="360"/>
      </w:pPr>
      <w:rPr>
        <w:rFonts w:hint="default"/>
      </w:rPr>
    </w:lvl>
    <w:lvl w:ilvl="4" w:tplc="04090019">
      <w:start w:val="1"/>
      <w:numFmt w:val="lowerLetter"/>
      <w:lvlText w:val="%5."/>
      <w:lvlJc w:val="left"/>
      <w:pPr>
        <w:tabs>
          <w:tab w:val="left" w:leader="none" w:pos="3600"/>
        </w:tabs>
        <w:ind w:left="3600" w:hanging="360"/>
      </w:pPr>
    </w:lvl>
    <w:lvl w:ilvl="5" w:tplc="0409001B">
      <w:start w:val="1"/>
      <w:numFmt w:val="lowerRoman"/>
      <w:lvlText w:val="%6."/>
      <w:lvlJc w:val="right"/>
      <w:pPr>
        <w:tabs>
          <w:tab w:val="left" w:leader="none" w:pos="4320"/>
        </w:tabs>
        <w:ind w:left="4320" w:hanging="180"/>
      </w:pPr>
    </w:lvl>
    <w:lvl w:ilvl="6" w:tplc="0409000F">
      <w:start w:val="1"/>
      <w:numFmt w:val="decimal"/>
      <w:lvlText w:val="%7."/>
      <w:lvlJc w:val="left"/>
      <w:pPr>
        <w:tabs>
          <w:tab w:val="left" w:leader="none" w:pos="5040"/>
        </w:tabs>
        <w:ind w:left="5040" w:hanging="360"/>
      </w:pPr>
    </w:lvl>
    <w:lvl w:ilvl="7" w:tplc="04090019">
      <w:start w:val="1"/>
      <w:numFmt w:val="lowerLetter"/>
      <w:lvlText w:val="%8."/>
      <w:lvlJc w:val="left"/>
      <w:pPr>
        <w:tabs>
          <w:tab w:val="left" w:leader="none" w:pos="5760"/>
        </w:tabs>
        <w:ind w:left="5760" w:hanging="360"/>
      </w:pPr>
    </w:lvl>
    <w:lvl w:ilvl="8" w:tplc="0409001B">
      <w:start w:val="1"/>
      <w:numFmt w:val="lowerRoman"/>
      <w:lvlText w:val="%9."/>
      <w:lvlJc w:val="right"/>
      <w:pPr>
        <w:tabs>
          <w:tab w:val="left" w:leader="none" w:pos="6480"/>
        </w:tabs>
        <w:ind w:left="6480" w:hanging="180"/>
      </w:pPr>
    </w:lvl>
  </w:abstractNum>
  <w:abstractNum w:abstractNumId="9">
    <w:nsid w:val="00000009"/>
    <w:multiLevelType w:val="hybridMultilevel"/>
    <w:tmpl w:val="29C617C0"/>
    <w:lvl w:ilvl="0" w:tplc="DF204A6C">
      <w:start w:val="1"/>
      <w:numFmt w:val="lowerLetter"/>
      <w:lvlText w:val="%1)"/>
      <w:lvlJc w:val="left"/>
      <w:pPr>
        <w:tabs>
          <w:tab w:val="left" w:leader="none" w:pos="1440"/>
        </w:tabs>
        <w:ind w:left="1440" w:hanging="360"/>
      </w:pPr>
      <w:rPr>
        <w:rFonts w:hint="default"/>
      </w:rPr>
    </w:lvl>
    <w:lvl w:ilvl="1" w:tplc="4686E694">
      <w:start w:val="1"/>
      <w:numFmt w:val="lowerRoman"/>
      <w:lvlText w:val="%2."/>
      <w:lvlJc w:val="right"/>
      <w:pPr>
        <w:tabs>
          <w:tab w:val="left" w:leader="none" w:pos="180"/>
        </w:tabs>
        <w:ind w:left="180" w:hanging="180"/>
      </w:pPr>
      <w:rPr>
        <w:rFonts w:hint="default"/>
      </w:rPr>
    </w:lvl>
    <w:lvl w:ilvl="2" w:tplc="0409001B" w:tentative="1">
      <w:start w:val="1"/>
      <w:numFmt w:val="lowerRoman"/>
      <w:lvlText w:val="%3."/>
      <w:lvlJc w:val="right"/>
      <w:pPr>
        <w:tabs>
          <w:tab w:val="left" w:leader="none" w:pos="2880"/>
        </w:tabs>
        <w:ind w:left="2880" w:hanging="180"/>
      </w:pPr>
    </w:lvl>
    <w:lvl w:ilvl="3" w:tplc="53AE9D3C" w:tentative="1">
      <w:start w:val="1"/>
      <w:numFmt w:val="decimal"/>
      <w:lvlText w:val="%4."/>
      <w:lvlJc w:val="left"/>
      <w:pPr>
        <w:tabs>
          <w:tab w:val="left" w:leader="none" w:pos="3600"/>
        </w:tabs>
        <w:ind w:left="3600" w:hanging="360"/>
      </w:pPr>
    </w:lvl>
    <w:lvl w:ilvl="4" w:tplc="04090019" w:tentative="1">
      <w:start w:val="1"/>
      <w:numFmt w:val="lowerLetter"/>
      <w:lvlText w:val="%5."/>
      <w:lvlJc w:val="left"/>
      <w:pPr>
        <w:tabs>
          <w:tab w:val="left" w:leader="none" w:pos="4320"/>
        </w:tabs>
        <w:ind w:left="4320" w:hanging="360"/>
      </w:pPr>
    </w:lvl>
    <w:lvl w:ilvl="5" w:tplc="0409001B" w:tentative="1">
      <w:start w:val="1"/>
      <w:numFmt w:val="lowerRoman"/>
      <w:lvlText w:val="%6."/>
      <w:lvlJc w:val="right"/>
      <w:pPr>
        <w:tabs>
          <w:tab w:val="left" w:leader="none" w:pos="5040"/>
        </w:tabs>
        <w:ind w:left="5040" w:hanging="180"/>
      </w:pPr>
    </w:lvl>
    <w:lvl w:ilvl="6" w:tplc="0409000F" w:tentative="1">
      <w:start w:val="1"/>
      <w:numFmt w:val="decimal"/>
      <w:lvlText w:val="%7."/>
      <w:lvlJc w:val="left"/>
      <w:pPr>
        <w:tabs>
          <w:tab w:val="left" w:leader="none" w:pos="5760"/>
        </w:tabs>
        <w:ind w:left="5760" w:hanging="360"/>
      </w:pPr>
    </w:lvl>
    <w:lvl w:ilvl="7" w:tplc="04090019" w:tentative="1">
      <w:start w:val="1"/>
      <w:numFmt w:val="lowerLetter"/>
      <w:lvlText w:val="%8."/>
      <w:lvlJc w:val="left"/>
      <w:pPr>
        <w:tabs>
          <w:tab w:val="left" w:leader="none" w:pos="6480"/>
        </w:tabs>
        <w:ind w:left="6480" w:hanging="360"/>
      </w:pPr>
    </w:lvl>
    <w:lvl w:ilvl="8" w:tplc="0409001B" w:tentative="1">
      <w:start w:val="1"/>
      <w:numFmt w:val="lowerRoman"/>
      <w:lvlText w:val="%9."/>
      <w:lvlJc w:val="right"/>
      <w:pPr>
        <w:tabs>
          <w:tab w:val="left" w:leader="none" w:pos="7200"/>
        </w:tabs>
        <w:ind w:left="7200" w:hanging="180"/>
      </w:pPr>
    </w:lvl>
  </w:abstractNum>
  <w:abstractNum w:abstractNumId="10">
    <w:nsid w:val="0000000A"/>
    <w:multiLevelType w:val="hybridMultilevel"/>
    <w:tmpl w:val="B6BE140E"/>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000000B"/>
    <w:multiLevelType w:val="hybridMultilevel"/>
    <w:tmpl w:val="56B6156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cs="Courier New" w:hAnsi="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cs="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cs="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2">
    <w:nsid w:val="0000000C"/>
    <w:multiLevelType w:val="hybridMultilevel"/>
    <w:tmpl w:val="18DAA4BE"/>
    <w:lvl w:ilvl="0" w:tplc="A7D66700">
      <w:start w:val="1"/>
      <w:numFmt w:val="decimal"/>
      <w:lvlText w:val="%1)"/>
      <w:lvlJc w:val="left"/>
      <w:pPr>
        <w:ind w:left="720" w:hanging="360"/>
      </w:pPr>
      <w:rPr>
        <w:sz w:val="20"/>
        <w:szCs w:val="2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0000000D"/>
    <w:multiLevelType w:val="hybridMultilevel"/>
    <w:tmpl w:val="5D9A39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000000E"/>
    <w:multiLevelType w:val="hybridMultilevel"/>
    <w:tmpl w:val="8CFAD54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0000000F"/>
    <w:multiLevelType w:val="multilevel"/>
    <w:tmpl w:val="7F0A2A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00000010"/>
    <w:multiLevelType w:val="hybridMultilevel"/>
    <w:tmpl w:val="B6BE140E"/>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0000011"/>
    <w:multiLevelType w:val="multilevel"/>
    <w:tmpl w:val="5114D91E"/>
    <w:lvl w:ilvl="0">
      <w:start w:val="1"/>
      <w:numFmt w:val="lowerRoman"/>
      <w:lvlText w:val="%1."/>
      <w:lvlJc w:val="righ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00000012"/>
    <w:multiLevelType w:val="hybridMultilevel"/>
    <w:tmpl w:val="FA342E2C"/>
    <w:lvl w:ilvl="0" w:tplc="B4E0AADE">
      <w:start w:val="1"/>
      <w:numFmt w:val="lowerRoman"/>
      <w:lvlText w:val="%1."/>
      <w:lvlJc w:val="center"/>
      <w:pPr>
        <w:ind w:left="720" w:hanging="360"/>
      </w:pPr>
      <w:rPr>
        <w:rFonts w:ascii="Times New Roman" w:hAnsi="Times New Roman" w:hint="default"/>
        <w:b w:val="false"/>
        <w:i w:val="false"/>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0000013"/>
    <w:multiLevelType w:val="hybridMultilevel"/>
    <w:tmpl w:val="C35C2CDA"/>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cs="Courier New" w:hAnsi="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cs="Courier New" w:hAnsi="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cs="Courier New" w:hAnsi="Courier New" w:hint="default"/>
      </w:rPr>
    </w:lvl>
    <w:lvl w:ilvl="8" w:tplc="04090005" w:tentative="1">
      <w:start w:val="1"/>
      <w:numFmt w:val="bullet"/>
      <w:lvlText w:val=""/>
      <w:lvlJc w:val="left"/>
      <w:pPr>
        <w:ind w:left="6300" w:hanging="360"/>
      </w:pPr>
      <w:rPr>
        <w:rFonts w:ascii="Wingdings" w:hAnsi="Wingdings" w:hint="default"/>
      </w:rPr>
    </w:lvl>
  </w:abstractNum>
  <w:num w:numId="1">
    <w:abstractNumId w:val="15"/>
  </w:num>
  <w:num w:numId="2">
    <w:abstractNumId w:val="4"/>
  </w:num>
  <w:num w:numId="3">
    <w:abstractNumId w:val="6"/>
  </w:num>
  <w:num w:numId="4">
    <w:abstractNumId w:val="7"/>
  </w:num>
  <w:num w:numId="5">
    <w:abstractNumId w:val="11"/>
  </w:num>
  <w:num w:numId="6">
    <w:abstractNumId w:val="19"/>
  </w:num>
  <w:num w:numId="7">
    <w:abstractNumId w:val="8"/>
  </w:num>
  <w:num w:numId="8">
    <w:abstractNumId w:val="3"/>
  </w:num>
  <w:num w:numId="9">
    <w:abstractNumId w:val="9"/>
  </w:num>
  <w:num w:numId="10">
    <w:abstractNumId w:val="14"/>
  </w:num>
  <w:num w:numId="11">
    <w:abstractNumId w:val="17"/>
  </w:num>
  <w:num w:numId="12">
    <w:abstractNumId w:val="13"/>
  </w:num>
  <w:num w:numId="13">
    <w:abstractNumId w:val="5"/>
  </w:num>
  <w:num w:numId="14">
    <w:abstractNumId w:val="10"/>
  </w:num>
  <w:num w:numId="15">
    <w:abstractNumId w:val="0"/>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16"/>
  </w:num>
  <w:num w:numId="19">
    <w:abstractNumId w:val="18"/>
  </w:num>
  <w:num w:numId="20">
    <w:abstractNumId w:val="2"/>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1"/>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Calibri" w:hAnsi="Calibri"/>
        <w:sz w:val="22"/>
        <w:szCs w:val="22"/>
        <w:lang w:val="en-US" w:bidi="ar-SA" w:eastAsia="en-US"/>
      </w:rPr>
    </w:rPrDefault>
    <w:pPrDefault>
      <w:pPr>
        <w:spacing w:after="200" w:lineRule="auto" w:line="276"/>
      </w:pPr>
    </w:pPrDefault>
  </w:docDefaults>
  <w:style w:type="paragraph" w:default="1" w:styleId="style0">
    <w:name w:val="Normal"/>
    <w:next w:val="style0"/>
    <w:qFormat/>
    <w:pPr>
      <w:spacing w:before="120" w:after="120" w:lineRule="auto" w:line="360"/>
      <w:jc w:val="both"/>
    </w:pPr>
    <w:rPr>
      <w:rFonts w:ascii="Times New Roman" w:hAnsi="Times New Roman"/>
      <w:sz w:val="24"/>
    </w:rPr>
  </w:style>
  <w:style w:type="paragraph" w:styleId="style1">
    <w:name w:val="heading 1"/>
    <w:basedOn w:val="style0"/>
    <w:next w:val="style0"/>
    <w:link w:val="style4097"/>
    <w:qFormat/>
    <w:uiPriority w:val="9"/>
    <w:pPr>
      <w:keepNext/>
      <w:keepLines/>
      <w:jc w:val="center"/>
      <w:outlineLvl w:val="0"/>
    </w:pPr>
    <w:rPr>
      <w:rFonts w:cs="宋体" w:eastAsia="宋体"/>
      <w:b/>
      <w:bCs/>
      <w:szCs w:val="28"/>
    </w:rPr>
  </w:style>
  <w:style w:type="paragraph" w:styleId="style2">
    <w:name w:val="heading 2"/>
    <w:basedOn w:val="style0"/>
    <w:next w:val="style0"/>
    <w:link w:val="style4098"/>
    <w:qFormat/>
    <w:uiPriority w:val="9"/>
    <w:pPr>
      <w:keepNext/>
      <w:keepLines/>
      <w:outlineLvl w:val="1"/>
    </w:pPr>
    <w:rPr>
      <w:rFonts w:cs="宋体" w:eastAsia="宋体"/>
      <w:b/>
      <w:bCs/>
      <w:szCs w:val="26"/>
    </w:rPr>
  </w:style>
  <w:style w:type="paragraph" w:styleId="style3">
    <w:name w:val="heading 3"/>
    <w:basedOn w:val="style0"/>
    <w:next w:val="style0"/>
    <w:link w:val="style4099"/>
    <w:qFormat/>
    <w:uiPriority w:val="9"/>
    <w:pPr>
      <w:keepNext/>
      <w:keepLines/>
      <w:spacing w:before="0" w:after="0"/>
      <w:outlineLvl w:val="2"/>
    </w:pPr>
    <w:rPr>
      <w:rFonts w:cs="宋体" w:eastAsia="宋体"/>
      <w:b/>
      <w:bCs/>
    </w:rPr>
  </w:style>
  <w:style w:type="paragraph" w:styleId="style4">
    <w:name w:val="heading 4"/>
    <w:basedOn w:val="style0"/>
    <w:next w:val="style0"/>
    <w:link w:val="style4101"/>
    <w:qFormat/>
    <w:uiPriority w:val="9"/>
    <w:pPr>
      <w:keepNext/>
      <w:keepLines/>
      <w:spacing w:before="0" w:after="0"/>
      <w:outlineLvl w:val="3"/>
    </w:pPr>
    <w:rPr>
      <w:rFonts w:cs="宋体" w:eastAsia="宋体"/>
      <w:b/>
      <w:bCs/>
      <w:iCs/>
    </w:rPr>
  </w:style>
  <w:style w:type="paragraph" w:styleId="style5">
    <w:name w:val="heading 5"/>
    <w:basedOn w:val="style0"/>
    <w:next w:val="style0"/>
    <w:link w:val="style4103"/>
    <w:qFormat/>
    <w:uiPriority w:val="9"/>
    <w:pPr>
      <w:keepNext/>
      <w:keepLines/>
      <w:outlineLvl w:val="4"/>
    </w:pPr>
    <w:rPr>
      <w:rFonts w:cs="宋体" w:eastAsia="宋体"/>
      <w:b/>
    </w:rPr>
  </w:style>
  <w:style w:type="paragraph" w:styleId="style6">
    <w:name w:val="heading 6"/>
    <w:basedOn w:val="style0"/>
    <w:next w:val="style0"/>
    <w:link w:val="style4109"/>
    <w:qFormat/>
    <w:uiPriority w:val="9"/>
    <w:pPr>
      <w:keepNext/>
      <w:keepLines/>
      <w:jc w:val="center"/>
      <w:outlineLvl w:val="5"/>
    </w:pPr>
    <w:rPr>
      <w:rFonts w:cs="宋体" w:eastAsia="宋体"/>
      <w:b/>
      <w:iCs/>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Heading 1 Char_72b6bddf-22c4-4272-a4e5-b961cdabd6d3"/>
    <w:basedOn w:val="style65"/>
    <w:next w:val="style4097"/>
    <w:link w:val="style1"/>
    <w:uiPriority w:val="9"/>
    <w:rPr>
      <w:rFonts w:ascii="Times New Roman" w:cs="宋体" w:eastAsia="宋体" w:hAnsi="Times New Roman"/>
      <w:b/>
      <w:bCs/>
      <w:sz w:val="24"/>
      <w:szCs w:val="28"/>
    </w:rPr>
  </w:style>
  <w:style w:type="character" w:customStyle="1" w:styleId="style4098">
    <w:name w:val="Heading 2 Char_07014969-c848-47cb-9f69-cd0f7be5ddae"/>
    <w:basedOn w:val="style65"/>
    <w:next w:val="style4098"/>
    <w:link w:val="style2"/>
    <w:uiPriority w:val="9"/>
    <w:rPr>
      <w:rFonts w:ascii="Times New Roman" w:cs="宋体" w:eastAsia="宋体" w:hAnsi="Times New Roman"/>
      <w:b/>
      <w:bCs/>
      <w:sz w:val="24"/>
      <w:szCs w:val="26"/>
    </w:rPr>
  </w:style>
  <w:style w:type="character" w:customStyle="1" w:styleId="style4099">
    <w:name w:val="Heading 3 Char_dd575da6-b79b-4377-a795-cf8e452ea853"/>
    <w:basedOn w:val="style65"/>
    <w:next w:val="style4099"/>
    <w:link w:val="style3"/>
    <w:uiPriority w:val="9"/>
    <w:rPr>
      <w:rFonts w:ascii="Times New Roman" w:cs="宋体" w:eastAsia="宋体" w:hAnsi="Times New Roman"/>
      <w:b/>
      <w:bCs/>
      <w:sz w:val="24"/>
    </w:rPr>
  </w:style>
  <w:style w:type="paragraph" w:styleId="style179">
    <w:name w:val="List Paragraph"/>
    <w:basedOn w:val="style0"/>
    <w:next w:val="style179"/>
    <w:qFormat/>
    <w:uiPriority w:val="34"/>
    <w:pPr>
      <w:ind w:left="720"/>
      <w:contextualSpacing/>
    </w:pPr>
    <w:rPr/>
  </w:style>
  <w:style w:type="paragraph" w:styleId="style32">
    <w:name w:val="footer"/>
    <w:basedOn w:val="style0"/>
    <w:next w:val="style32"/>
    <w:link w:val="style4100"/>
    <w:uiPriority w:val="99"/>
    <w:pPr>
      <w:tabs>
        <w:tab w:val="center" w:leader="none" w:pos="4680"/>
        <w:tab w:val="right" w:leader="none" w:pos="9360"/>
      </w:tabs>
      <w:spacing w:before="0" w:after="0" w:lineRule="auto" w:line="240"/>
    </w:pPr>
    <w:rPr/>
  </w:style>
  <w:style w:type="character" w:customStyle="1" w:styleId="style4100">
    <w:name w:val="Footer Char_d2816b00-af67-4637-a5d1-278d34aa6c96"/>
    <w:basedOn w:val="style65"/>
    <w:next w:val="style4100"/>
    <w:link w:val="style32"/>
    <w:uiPriority w:val="99"/>
    <w:rPr>
      <w:rFonts w:ascii="Times New Roman" w:hAnsi="Times New Roman"/>
      <w:sz w:val="24"/>
    </w:rPr>
  </w:style>
  <w:style w:type="paragraph" w:styleId="style94">
    <w:name w:val="Normal (Web)"/>
    <w:basedOn w:val="style0"/>
    <w:next w:val="style94"/>
    <w:uiPriority w:val="99"/>
    <w:pPr>
      <w:spacing w:before="100" w:beforeAutospacing="true" w:after="100" w:afterAutospacing="true" w:lineRule="auto" w:line="240"/>
      <w:jc w:val="left"/>
    </w:pPr>
    <w:rPr>
      <w:rFonts w:cs="Times New Roman" w:eastAsia="宋体"/>
      <w:szCs w:val="24"/>
    </w:rPr>
  </w:style>
  <w:style w:type="character" w:customStyle="1" w:styleId="style4101">
    <w:name w:val="Heading 4 Char_082825dc-d2ca-4fce-a284-f7eb473cd551"/>
    <w:basedOn w:val="style65"/>
    <w:next w:val="style4101"/>
    <w:link w:val="style4"/>
    <w:uiPriority w:val="9"/>
    <w:rPr>
      <w:rFonts w:ascii="Times New Roman" w:cs="宋体" w:eastAsia="宋体" w:hAnsi="Times New Roman"/>
      <w:b/>
      <w:bCs/>
      <w:iCs/>
      <w:sz w:val="24"/>
    </w:rPr>
  </w:style>
  <w:style w:type="table" w:styleId="style154">
    <w:name w:val="Table Grid"/>
    <w:basedOn w:val="style105"/>
    <w:next w:val="style154"/>
    <w:uiPriority w:val="59"/>
    <w:pPr>
      <w:spacing w:after="0" w:lineRule="auto" w:line="240"/>
    </w:pPr>
    <w:rPr>
      <w:rFonts w:ascii="Calibri" w:cs="Times New Roman" w:eastAsia="Calibri" w:hAnsi="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customStyle="1" w:styleId="style4102">
    <w:name w:val="Default"/>
    <w:next w:val="style4102"/>
    <w:pPr>
      <w:autoSpaceDE w:val="false"/>
      <w:autoSpaceDN w:val="false"/>
      <w:adjustRightInd w:val="false"/>
      <w:spacing w:after="0" w:lineRule="auto" w:line="240"/>
    </w:pPr>
    <w:rPr>
      <w:rFonts w:ascii="Times New Roman" w:cs="Times New Roman" w:hAnsi="Times New Roman"/>
      <w:color w:val="000000"/>
      <w:sz w:val="24"/>
      <w:szCs w:val="24"/>
    </w:rPr>
  </w:style>
  <w:style w:type="character" w:customStyle="1" w:styleId="style4103">
    <w:name w:val="Heading 5 Char_2c9964dc-9562-475c-9770-186d13c879f8"/>
    <w:basedOn w:val="style65"/>
    <w:next w:val="style4103"/>
    <w:link w:val="style5"/>
    <w:uiPriority w:val="9"/>
    <w:rPr>
      <w:rFonts w:ascii="Times New Roman" w:cs="宋体" w:eastAsia="宋体" w:hAnsi="Times New Roman"/>
      <w:b/>
      <w:sz w:val="24"/>
    </w:rPr>
  </w:style>
  <w:style w:type="character" w:styleId="style85">
    <w:name w:val="Hyperlink"/>
    <w:basedOn w:val="style65"/>
    <w:next w:val="style85"/>
    <w:uiPriority w:val="99"/>
    <w:rPr>
      <w:color w:val="0000ff"/>
      <w:u w:val="single"/>
    </w:rPr>
  </w:style>
  <w:style w:type="paragraph" w:styleId="style19">
    <w:name w:val="toc 1"/>
    <w:basedOn w:val="style0"/>
    <w:next w:val="style0"/>
    <w:uiPriority w:val="39"/>
    <w:pPr>
      <w:spacing w:before="0" w:after="100"/>
      <w:jc w:val="left"/>
    </w:pPr>
    <w:rPr>
      <w:b/>
    </w:rPr>
  </w:style>
  <w:style w:type="paragraph" w:styleId="style20">
    <w:name w:val="toc 2"/>
    <w:basedOn w:val="style0"/>
    <w:next w:val="style0"/>
    <w:uiPriority w:val="39"/>
    <w:pPr>
      <w:tabs>
        <w:tab w:val="right" w:leader="dot" w:pos="9017"/>
      </w:tabs>
      <w:spacing w:before="0" w:after="100"/>
      <w:ind w:left="245"/>
      <w:jc w:val="right"/>
    </w:pPr>
    <w:rPr/>
  </w:style>
  <w:style w:type="paragraph" w:styleId="style35">
    <w:name w:val="table of figures"/>
    <w:basedOn w:val="style0"/>
    <w:next w:val="style0"/>
    <w:uiPriority w:val="99"/>
    <w:pPr>
      <w:tabs>
        <w:tab w:val="right" w:leader="dot" w:pos="9017"/>
      </w:tabs>
      <w:jc w:val="center"/>
      <w:contextualSpacing/>
    </w:pPr>
    <w:rPr>
      <w:rFonts w:cs="Times New Roman" w:eastAsia="Calibri"/>
    </w:rPr>
  </w:style>
  <w:style w:type="paragraph" w:styleId="style31">
    <w:name w:val="header"/>
    <w:basedOn w:val="style0"/>
    <w:next w:val="style31"/>
    <w:link w:val="style4104"/>
    <w:uiPriority w:val="99"/>
    <w:pPr>
      <w:tabs>
        <w:tab w:val="center" w:leader="none" w:pos="4680"/>
        <w:tab w:val="right" w:leader="none" w:pos="9360"/>
      </w:tabs>
      <w:spacing w:before="0" w:after="0" w:lineRule="auto" w:line="240"/>
    </w:pPr>
    <w:rPr/>
  </w:style>
  <w:style w:type="character" w:customStyle="1" w:styleId="style4104">
    <w:name w:val="Header Char_564c2241-a4c3-4de1-8595-e242d2db8723"/>
    <w:basedOn w:val="style65"/>
    <w:next w:val="style4104"/>
    <w:link w:val="style31"/>
    <w:uiPriority w:val="99"/>
    <w:rPr>
      <w:rFonts w:ascii="Times New Roman" w:hAnsi="Times New Roman"/>
      <w:sz w:val="24"/>
    </w:rPr>
  </w:style>
  <w:style w:type="paragraph" w:styleId="style21">
    <w:name w:val="toc 3"/>
    <w:basedOn w:val="style0"/>
    <w:next w:val="style0"/>
    <w:uiPriority w:val="39"/>
    <w:pPr>
      <w:spacing w:after="100"/>
      <w:ind w:left="480"/>
    </w:pPr>
    <w:rPr/>
  </w:style>
  <w:style w:type="character" w:styleId="style39">
    <w:name w:val="annotation reference"/>
    <w:basedOn w:val="style65"/>
    <w:next w:val="style39"/>
    <w:uiPriority w:val="99"/>
    <w:rPr>
      <w:sz w:val="16"/>
      <w:szCs w:val="16"/>
    </w:rPr>
  </w:style>
  <w:style w:type="paragraph" w:styleId="style30">
    <w:name w:val="annotation text"/>
    <w:basedOn w:val="style0"/>
    <w:next w:val="style30"/>
    <w:link w:val="style4105"/>
    <w:uiPriority w:val="99"/>
    <w:pPr>
      <w:spacing w:lineRule="auto" w:line="240"/>
    </w:pPr>
    <w:rPr>
      <w:sz w:val="20"/>
      <w:szCs w:val="20"/>
    </w:rPr>
  </w:style>
  <w:style w:type="character" w:customStyle="1" w:styleId="style4105">
    <w:name w:val="Comment Text Char"/>
    <w:basedOn w:val="style65"/>
    <w:next w:val="style4105"/>
    <w:link w:val="style30"/>
    <w:uiPriority w:val="99"/>
    <w:rPr>
      <w:rFonts w:ascii="Times New Roman" w:hAnsi="Times New Roman"/>
      <w:sz w:val="20"/>
      <w:szCs w:val="20"/>
    </w:rPr>
  </w:style>
  <w:style w:type="paragraph" w:styleId="style106">
    <w:name w:val="annotation subject"/>
    <w:basedOn w:val="style30"/>
    <w:next w:val="style30"/>
    <w:link w:val="style4106"/>
    <w:uiPriority w:val="99"/>
    <w:pPr/>
    <w:rPr>
      <w:b/>
      <w:bCs/>
    </w:rPr>
  </w:style>
  <w:style w:type="character" w:customStyle="1" w:styleId="style4106">
    <w:name w:val="Comment Subject Char"/>
    <w:basedOn w:val="style4105"/>
    <w:next w:val="style4106"/>
    <w:link w:val="style106"/>
    <w:uiPriority w:val="99"/>
    <w:rPr>
      <w:rFonts w:ascii="Times New Roman" w:hAnsi="Times New Roman"/>
      <w:b/>
      <w:bCs/>
      <w:sz w:val="20"/>
      <w:szCs w:val="20"/>
    </w:rPr>
  </w:style>
  <w:style w:type="paragraph" w:styleId="style153">
    <w:name w:val="Balloon Text"/>
    <w:basedOn w:val="style0"/>
    <w:next w:val="style153"/>
    <w:link w:val="style4107"/>
    <w:uiPriority w:val="99"/>
    <w:pPr>
      <w:spacing w:before="0" w:after="0" w:lineRule="auto" w:line="240"/>
    </w:pPr>
    <w:rPr>
      <w:rFonts w:ascii="Segoe UI" w:cs="Segoe UI" w:hAnsi="Segoe UI"/>
      <w:sz w:val="18"/>
      <w:szCs w:val="18"/>
    </w:rPr>
  </w:style>
  <w:style w:type="character" w:customStyle="1" w:styleId="style4107">
    <w:name w:val="Balloon Text Char"/>
    <w:basedOn w:val="style65"/>
    <w:next w:val="style4107"/>
    <w:link w:val="style153"/>
    <w:uiPriority w:val="99"/>
    <w:rPr>
      <w:rFonts w:ascii="Segoe UI" w:cs="Segoe UI" w:hAnsi="Segoe UI"/>
      <w:sz w:val="18"/>
      <w:szCs w:val="18"/>
    </w:rPr>
  </w:style>
  <w:style w:type="character" w:customStyle="1" w:styleId="style4108">
    <w:name w:val="_"/>
    <w:basedOn w:val="style65"/>
    <w:next w:val="style4108"/>
  </w:style>
  <w:style w:type="character" w:customStyle="1" w:styleId="style4109">
    <w:name w:val="Heading 6 Char_47b4fd27-77ad-4dd9-822f-9660f5249c94"/>
    <w:basedOn w:val="style65"/>
    <w:next w:val="style4109"/>
    <w:link w:val="style6"/>
    <w:uiPriority w:val="9"/>
    <w:rPr>
      <w:rFonts w:ascii="Times New Roman" w:cs="宋体" w:eastAsia="宋体" w:hAnsi="Times New Roman"/>
      <w:b/>
      <w:iCs/>
      <w:sz w:val="24"/>
    </w:rPr>
  </w:style>
  <w:style w:type="paragraph" w:styleId="style157">
    <w:name w:val="No Spacing"/>
    <w:next w:val="style157"/>
    <w:qFormat/>
    <w:uiPriority w:val="1"/>
    <w:pPr>
      <w:spacing w:after="0" w:lineRule="auto" w:line="240"/>
    </w:pPr>
    <w:rPr>
      <w:rFonts w:ascii="Times New Roman" w:cs="Times New Roman" w:eastAsia="Calibri" w:hAnsi="Times New Roman"/>
      <w:sz w:val="24"/>
      <w:szCs w:val="24"/>
    </w:rPr>
  </w:style>
  <w:style w:type="table" w:customStyle="1" w:styleId="style4110">
    <w:name w:val="Table Grid2"/>
    <w:basedOn w:val="style105"/>
    <w:next w:val="style4110"/>
    <w:uiPriority w:val="59"/>
    <w:pPr>
      <w:spacing w:after="0" w:lineRule="auto" w:line="240"/>
    </w:pPr>
    <w:rPr>
      <w:rFonts w:ascii="Calibri" w:cs="Times New Roman" w:eastAsia="Calibri" w:hAnsi="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customStyle="1" w:styleId="style4111">
    <w:name w:val="msonormal"/>
    <w:basedOn w:val="style0"/>
    <w:next w:val="style4111"/>
    <w:pPr>
      <w:spacing w:before="100" w:beforeAutospacing="true" w:after="100" w:afterAutospacing="true" w:lineRule="auto" w:line="240"/>
      <w:jc w:val="left"/>
    </w:pPr>
    <w:rPr>
      <w:rFonts w:cs="Times New Roman" w:eastAsia="Times New Roman"/>
      <w:szCs w:val="24"/>
    </w:rPr>
  </w:style>
  <w:style w:type="character" w:customStyle="1" w:styleId="style4112">
    <w:name w:val="Comment Text Char1"/>
    <w:basedOn w:val="style65"/>
    <w:next w:val="style4112"/>
    <w:uiPriority w:val="99"/>
    <w:rPr>
      <w:rFonts w:ascii="Times New Roman" w:cs="Times New Roman" w:hAnsi="Times New Roman" w:hint="default"/>
      <w:sz w:val="20"/>
      <w:szCs w:val="20"/>
    </w:rPr>
  </w:style>
  <w:style w:type="character" w:customStyle="1" w:styleId="style4113">
    <w:name w:val="Header Char1"/>
    <w:basedOn w:val="style65"/>
    <w:next w:val="style4113"/>
    <w:uiPriority w:val="99"/>
    <w:rPr>
      <w:rFonts w:ascii="Times New Roman" w:cs="Times New Roman" w:hAnsi="Times New Roman" w:hint="default"/>
      <w:sz w:val="24"/>
    </w:rPr>
  </w:style>
  <w:style w:type="character" w:customStyle="1" w:styleId="style4114">
    <w:name w:val="Footer Char1"/>
    <w:basedOn w:val="style65"/>
    <w:next w:val="style4114"/>
    <w:uiPriority w:val="99"/>
    <w:rPr>
      <w:rFonts w:ascii="Times New Roman" w:cs="Times New Roman" w:hAnsi="Times New Roman" w:hint="default"/>
      <w:sz w:val="24"/>
    </w:rPr>
  </w:style>
  <w:style w:type="character" w:customStyle="1" w:styleId="style4115">
    <w:name w:val="Comment Subject Char1"/>
    <w:basedOn w:val="style4112"/>
    <w:next w:val="style4115"/>
    <w:uiPriority w:val="99"/>
    <w:rPr>
      <w:rFonts w:ascii="Times New Roman" w:cs="Times New Roman" w:hAnsi="Times New Roman" w:hint="default"/>
      <w:b/>
      <w:bCs/>
      <w:sz w:val="20"/>
      <w:szCs w:val="20"/>
    </w:rPr>
  </w:style>
  <w:style w:type="character" w:customStyle="1" w:styleId="style4116">
    <w:name w:val="Balloon Text Char1"/>
    <w:basedOn w:val="style65"/>
    <w:next w:val="style4116"/>
    <w:uiPriority w:val="99"/>
    <w:rPr>
      <w:rFonts w:ascii="Segoe UI" w:cs="Segoe UI" w:hAnsi="Segoe UI" w:hint="default"/>
      <w:sz w:val="18"/>
      <w:szCs w:val="18"/>
    </w:rPr>
  </w:style>
  <w:style w:type="character" w:styleId="style88">
    <w:name w:val="Emphasis"/>
    <w:basedOn w:val="style65"/>
    <w:next w:val="style88"/>
    <w:qFormat/>
    <w:uiPriority w:val="20"/>
    <w:rPr>
      <w:i/>
      <w:iCs/>
    </w:rPr>
  </w:style>
  <w:style w:type="paragraph" w:styleId="style178">
    <w:name w:val="Revision"/>
    <w:next w:val="style178"/>
    <w:uiPriority w:val="99"/>
    <w:pPr>
      <w:spacing w:after="0" w:lineRule="auto" w:line="240"/>
    </w:pPr>
    <w:rPr>
      <w:rFonts w:ascii="Times New Roman" w:hAnsi="Times New Roman"/>
      <w:sz w:val="24"/>
    </w:rPr>
  </w:style>
  <w:style w:type="character" w:customStyle="1" w:styleId="style4117">
    <w:name w:val="Unresolved Mention1"/>
    <w:basedOn w:val="style65"/>
    <w:next w:val="style4117"/>
    <w:uiPriority w:val="99"/>
    <w:rPr>
      <w:color w:val="605e5c"/>
      <w:shd w:val="clear" w:color="auto" w:fill="e1dfdd"/>
    </w:rPr>
  </w:style>
</w:styles>
</file>

<file path=word/_rels/document.xml.rels><?xml version="1.0" encoding="UTF-8"?>
<Relationships xmlns="http://schemas.openxmlformats.org/package/2006/relationships"><Relationship Id="rId11" Type="http://schemas.openxmlformats.org/officeDocument/2006/relationships/fontTable" Target="fontTable.xml"/><Relationship Id="rId10" Type="http://schemas.openxmlformats.org/officeDocument/2006/relationships/styles" Target="styles.xml"/><Relationship Id="rId13" Type="http://schemas.openxmlformats.org/officeDocument/2006/relationships/theme" Target="theme/theme1.xml"/><Relationship Id="rId12" Type="http://schemas.openxmlformats.org/officeDocument/2006/relationships/settings" Target="settings.xml"/><Relationship Id="rId1" Type="http://schemas.openxmlformats.org/officeDocument/2006/relationships/numbering" Target="numbering.xml"/><Relationship Id="rId2" Type="http://schemas.openxmlformats.org/officeDocument/2006/relationships/header" Target="header1.xml"/><Relationship Id="rId3" Type="http://schemas.openxmlformats.org/officeDocument/2006/relationships/footer" Target="footer2.xml"/><Relationship Id="rId4" Type="http://schemas.openxmlformats.org/officeDocument/2006/relationships/header" Target="header3.xml"/><Relationship Id="rId9" Type="http://schemas.openxmlformats.org/officeDocument/2006/relationships/image" Target="media/image5.jpeg"/><Relationship Id="rId14" Type="http://schemas.openxmlformats.org/officeDocument/2006/relationships/customXml" Target="../customXml/item1.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FB52D2-F38A-43C8-842A-4728AE476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Words>25535</Words>
  <Pages>98</Pages>
  <Characters>151469</Characters>
  <Application>WPS Office</Application>
  <DocSecurity>0</DocSecurity>
  <Paragraphs>2033</Paragraphs>
  <ScaleCrop>false</ScaleCrop>
  <LinksUpToDate>false</LinksUpToDate>
  <CharactersWithSpaces>176089</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2023-08-30T12:18:00Z</dcterms:created>
  <dc:creator>user</dc:creator>
  <lastModifiedBy>Infinix X6516</lastModifiedBy>
  <lastPrinted>2021-10-08T13:40:00Z</lastPrinted>
  <dcterms:modified xsi:type="dcterms:W3CDTF">2023-08-30T12:37:53Z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e7b66e9bb711409694cafa64089fa9c6</vt:lpwstr>
  </property>
</Properties>
</file>